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A38B" w14:textId="68D2FBC2" w:rsidR="00B24643" w:rsidRPr="007A73C1" w:rsidRDefault="006B6406" w:rsidP="00A950B0">
      <w:pPr>
        <w:pStyle w:val="Heading1"/>
        <w:jc w:val="center"/>
        <w:rPr>
          <w:lang w:val="en-GB"/>
        </w:rPr>
      </w:pPr>
      <w:r w:rsidRPr="006628C0">
        <w:rPr>
          <w:b w:val="0"/>
          <w:bCs w:val="0"/>
          <w:lang w:val="en-GB"/>
        </w:rPr>
        <w:t>Terms of Reference</w:t>
      </w:r>
      <w:r w:rsidR="00D931C3" w:rsidRPr="006628C0">
        <w:rPr>
          <w:b w:val="0"/>
          <w:bCs w:val="0"/>
          <w:lang w:val="en-GB"/>
        </w:rPr>
        <w:t xml:space="preserve"> (ToR)</w:t>
      </w:r>
      <w:r w:rsidR="006628C0">
        <w:rPr>
          <w:lang w:val="en-GB"/>
        </w:rPr>
        <w:t xml:space="preserve"> </w:t>
      </w:r>
    </w:p>
    <w:p w14:paraId="79ADFDD6" w14:textId="77777777" w:rsidR="00E63049" w:rsidRPr="007A73C1" w:rsidRDefault="00E63049" w:rsidP="00E63049">
      <w:pPr>
        <w:pStyle w:val="Default"/>
        <w:rPr>
          <w:rFonts w:cs="Arial"/>
          <w:b/>
          <w:bCs/>
          <w:color w:val="auto"/>
          <w:kern w:val="32"/>
          <w:sz w:val="28"/>
          <w:szCs w:val="32"/>
          <w:lang w:val="en-GB" w:eastAsia="en-US"/>
        </w:rPr>
      </w:pPr>
    </w:p>
    <w:p w14:paraId="622F0041" w14:textId="2CEFEC9E" w:rsidR="007A2286" w:rsidRPr="006628C0" w:rsidRDefault="000B2875" w:rsidP="00861065">
      <w:pPr>
        <w:jc w:val="center"/>
        <w:rPr>
          <w:rFonts w:cs="Arial"/>
          <w:kern w:val="32"/>
          <w:sz w:val="28"/>
          <w:szCs w:val="32"/>
        </w:rPr>
      </w:pPr>
      <w:r w:rsidRPr="006628C0">
        <w:rPr>
          <w:rFonts w:cs="Arial"/>
          <w:kern w:val="32"/>
          <w:sz w:val="28"/>
          <w:szCs w:val="32"/>
        </w:rPr>
        <w:t>Local</w:t>
      </w:r>
      <w:r w:rsidR="00675123" w:rsidRPr="006628C0">
        <w:rPr>
          <w:rFonts w:cs="Arial"/>
          <w:kern w:val="32"/>
          <w:sz w:val="28"/>
          <w:szCs w:val="32"/>
        </w:rPr>
        <w:t xml:space="preserve"> Expert</w:t>
      </w:r>
      <w:r w:rsidR="007731DD" w:rsidRPr="006628C0">
        <w:rPr>
          <w:rFonts w:cs="Arial"/>
          <w:kern w:val="32"/>
          <w:sz w:val="28"/>
          <w:szCs w:val="32"/>
        </w:rPr>
        <w:t xml:space="preserve"> </w:t>
      </w:r>
      <w:r w:rsidR="006628C0" w:rsidRPr="006628C0">
        <w:rPr>
          <w:rFonts w:cs="Arial"/>
          <w:kern w:val="32"/>
          <w:sz w:val="28"/>
          <w:szCs w:val="32"/>
        </w:rPr>
        <w:t xml:space="preserve">for research </w:t>
      </w:r>
      <w:r w:rsidR="00861065" w:rsidRPr="006628C0">
        <w:rPr>
          <w:rFonts w:cs="Arial"/>
          <w:kern w:val="32"/>
          <w:sz w:val="28"/>
          <w:szCs w:val="32"/>
        </w:rPr>
        <w:t xml:space="preserve">on the role of </w:t>
      </w:r>
      <w:r w:rsidR="007A2286" w:rsidRPr="006628C0">
        <w:rPr>
          <w:rFonts w:cs="Arial"/>
          <w:kern w:val="32"/>
          <w:sz w:val="28"/>
          <w:szCs w:val="32"/>
        </w:rPr>
        <w:t>local authorities in implement</w:t>
      </w:r>
      <w:r w:rsidR="00861065" w:rsidRPr="006628C0">
        <w:rPr>
          <w:rFonts w:cs="Arial"/>
          <w:kern w:val="32"/>
          <w:sz w:val="28"/>
          <w:szCs w:val="32"/>
        </w:rPr>
        <w:t>ation of the</w:t>
      </w:r>
      <w:r w:rsidR="007A2286" w:rsidRPr="006628C0">
        <w:rPr>
          <w:rFonts w:cs="Arial"/>
          <w:kern w:val="32"/>
          <w:sz w:val="28"/>
          <w:szCs w:val="32"/>
        </w:rPr>
        <w:t xml:space="preserve"> Reform Agenda</w:t>
      </w:r>
      <w:r w:rsidR="00861065" w:rsidRPr="006628C0">
        <w:rPr>
          <w:rFonts w:cs="Arial"/>
          <w:kern w:val="32"/>
          <w:sz w:val="28"/>
          <w:szCs w:val="32"/>
        </w:rPr>
        <w:t>s in</w:t>
      </w:r>
      <w:r w:rsidR="00A3701F" w:rsidRPr="006628C0">
        <w:rPr>
          <w:rFonts w:cs="Arial"/>
          <w:kern w:val="32"/>
          <w:sz w:val="28"/>
          <w:szCs w:val="32"/>
        </w:rPr>
        <w:t xml:space="preserve"> </w:t>
      </w:r>
      <w:r w:rsidR="008C7218">
        <w:rPr>
          <w:rFonts w:cs="Arial"/>
          <w:kern w:val="32"/>
          <w:sz w:val="28"/>
          <w:szCs w:val="32"/>
        </w:rPr>
        <w:t>Bosnia and Herzegovina</w:t>
      </w:r>
      <w:r w:rsidR="006628C0" w:rsidRPr="006628C0">
        <w:rPr>
          <w:rFonts w:cs="Arial"/>
          <w:kern w:val="32"/>
          <w:sz w:val="28"/>
          <w:szCs w:val="32"/>
        </w:rPr>
        <w:t xml:space="preserve"> </w:t>
      </w:r>
    </w:p>
    <w:p w14:paraId="3560CFC6" w14:textId="24FAC7EE" w:rsidR="006628C0" w:rsidRPr="0012669D" w:rsidRDefault="006628C0" w:rsidP="00861065">
      <w:pPr>
        <w:jc w:val="center"/>
        <w:rPr>
          <w:rFonts w:asciiTheme="majorHAnsi" w:hAnsiTheme="majorHAnsi" w:cstheme="majorHAnsi"/>
          <w:b/>
          <w:bCs/>
          <w:sz w:val="28"/>
          <w:szCs w:val="28"/>
        </w:rPr>
      </w:pPr>
    </w:p>
    <w:p w14:paraId="7589FB03" w14:textId="77777777" w:rsidR="007A2286" w:rsidRPr="0012669D" w:rsidRDefault="007A2286" w:rsidP="00675123">
      <w:pPr>
        <w:jc w:val="center"/>
        <w:rPr>
          <w:rFonts w:asciiTheme="majorHAnsi" w:hAnsiTheme="majorHAnsi" w:cstheme="majorHAnsi"/>
          <w:sz w:val="24"/>
        </w:rPr>
      </w:pPr>
    </w:p>
    <w:p w14:paraId="10614C5B" w14:textId="77777777" w:rsidR="006E4959" w:rsidRPr="00A950B0" w:rsidRDefault="006E4959" w:rsidP="00126B0D">
      <w:pPr>
        <w:rPr>
          <w:sz w:val="24"/>
        </w:rPr>
      </w:pPr>
    </w:p>
    <w:p w14:paraId="7FBB01BE" w14:textId="692E13F0" w:rsidR="00B24643" w:rsidRPr="00A950B0" w:rsidRDefault="00B24643" w:rsidP="00126B0D">
      <w:pPr>
        <w:pStyle w:val="Heading2"/>
        <w:rPr>
          <w:sz w:val="24"/>
          <w:lang w:val="en-GB"/>
        </w:rPr>
      </w:pPr>
      <w:r w:rsidRPr="00A950B0">
        <w:rPr>
          <w:sz w:val="24"/>
          <w:lang w:val="en-GB"/>
        </w:rPr>
        <w:t xml:space="preserve">1. </w:t>
      </w:r>
      <w:r w:rsidRPr="00A950B0">
        <w:rPr>
          <w:b w:val="0"/>
          <w:bCs/>
          <w:sz w:val="24"/>
          <w:lang w:val="en-GB"/>
        </w:rPr>
        <w:t>Summary of Requirements</w:t>
      </w:r>
      <w:r w:rsidR="006628C0" w:rsidRPr="00A950B0">
        <w:rPr>
          <w:sz w:val="24"/>
          <w:lang w:val="en-GB"/>
        </w:rPr>
        <w:t xml:space="preserve"> </w:t>
      </w:r>
    </w:p>
    <w:p w14:paraId="68B6CEA8" w14:textId="77777777" w:rsidR="00126B0D" w:rsidRPr="00A950B0" w:rsidRDefault="00126B0D" w:rsidP="00126B0D">
      <w:pPr>
        <w:pStyle w:val="Default"/>
        <w:jc w:val="both"/>
        <w:rPr>
          <w:lang w:val="en-GB"/>
        </w:rPr>
      </w:pPr>
    </w:p>
    <w:p w14:paraId="443EC930" w14:textId="1ED74753" w:rsidR="00D14910" w:rsidRPr="00577E85" w:rsidRDefault="00D57337" w:rsidP="00861065">
      <w:pPr>
        <w:spacing w:before="120" w:after="120"/>
        <w:rPr>
          <w:sz w:val="24"/>
        </w:rPr>
      </w:pPr>
      <w:r w:rsidRPr="00577E85">
        <w:rPr>
          <w:sz w:val="24"/>
        </w:rPr>
        <w:t xml:space="preserve">The Association of Municipalities and Cities of the </w:t>
      </w:r>
      <w:r w:rsidR="0047510C">
        <w:rPr>
          <w:sz w:val="24"/>
        </w:rPr>
        <w:t>Federation of Bosnia and Herzegovina</w:t>
      </w:r>
      <w:r w:rsidR="005C3AC8" w:rsidRPr="00577E85">
        <w:rPr>
          <w:sz w:val="24"/>
        </w:rPr>
        <w:t xml:space="preserve">, within the </w:t>
      </w:r>
      <w:r w:rsidR="00861065" w:rsidRPr="00577E85">
        <w:rPr>
          <w:sz w:val="24"/>
        </w:rPr>
        <w:t>EU-Council of Europe joint programme “LORAI – Local Observatory on Reform Agendas Implementation</w:t>
      </w:r>
      <w:r w:rsidR="007D7183" w:rsidRPr="00577E85">
        <w:rPr>
          <w:sz w:val="24"/>
        </w:rPr>
        <w:t>”</w:t>
      </w:r>
      <w:r w:rsidR="00861065" w:rsidRPr="00577E85">
        <w:rPr>
          <w:sz w:val="24"/>
        </w:rPr>
        <w:t xml:space="preserve"> in the Western Balkans</w:t>
      </w:r>
      <w:r w:rsidR="005C3AC8" w:rsidRPr="00577E85">
        <w:rPr>
          <w:sz w:val="24"/>
        </w:rPr>
        <w:t xml:space="preserve">, </w:t>
      </w:r>
      <w:r w:rsidR="000B2875" w:rsidRPr="00577E85">
        <w:rPr>
          <w:sz w:val="24"/>
        </w:rPr>
        <w:t>seeks Local</w:t>
      </w:r>
      <w:r w:rsidR="00861065" w:rsidRPr="00577E85">
        <w:rPr>
          <w:sz w:val="24"/>
        </w:rPr>
        <w:t xml:space="preserve"> Ex</w:t>
      </w:r>
      <w:r w:rsidR="0087574E" w:rsidRPr="00577E85">
        <w:rPr>
          <w:sz w:val="24"/>
        </w:rPr>
        <w:t>pert</w:t>
      </w:r>
      <w:r w:rsidR="005C3AC8" w:rsidRPr="00577E85">
        <w:rPr>
          <w:sz w:val="24"/>
        </w:rPr>
        <w:t xml:space="preserve"> </w:t>
      </w:r>
      <w:r w:rsidR="003A0662" w:rsidRPr="00577E85">
        <w:rPr>
          <w:sz w:val="24"/>
        </w:rPr>
        <w:t xml:space="preserve">to </w:t>
      </w:r>
      <w:r w:rsidR="00B70BC3" w:rsidRPr="00577E85">
        <w:rPr>
          <w:sz w:val="24"/>
        </w:rPr>
        <w:t xml:space="preserve">conduct </w:t>
      </w:r>
      <w:r w:rsidR="00861065" w:rsidRPr="00577E85">
        <w:rPr>
          <w:sz w:val="24"/>
        </w:rPr>
        <w:t xml:space="preserve">a </w:t>
      </w:r>
      <w:r w:rsidRPr="00577E85">
        <w:rPr>
          <w:sz w:val="24"/>
        </w:rPr>
        <w:t>local research activity</w:t>
      </w:r>
      <w:r w:rsidR="00861065" w:rsidRPr="00577E85">
        <w:rPr>
          <w:sz w:val="24"/>
        </w:rPr>
        <w:t xml:space="preserve"> on the role of local </w:t>
      </w:r>
      <w:r w:rsidR="00DB4C4A" w:rsidRPr="00577E85">
        <w:rPr>
          <w:sz w:val="24"/>
        </w:rPr>
        <w:t>authorities</w:t>
      </w:r>
      <w:r w:rsidR="00861065" w:rsidRPr="00577E85">
        <w:rPr>
          <w:sz w:val="24"/>
        </w:rPr>
        <w:t xml:space="preserve"> in implementation of the Reform Agendas in the Western Balkans</w:t>
      </w:r>
      <w:r w:rsidR="00EF1B03" w:rsidRPr="00577E85">
        <w:rPr>
          <w:sz w:val="24"/>
        </w:rPr>
        <w:t>, specifically in</w:t>
      </w:r>
      <w:r w:rsidR="00A3701F" w:rsidRPr="00577E85">
        <w:rPr>
          <w:sz w:val="24"/>
        </w:rPr>
        <w:t xml:space="preserve"> </w:t>
      </w:r>
      <w:r w:rsidRPr="00577E85">
        <w:rPr>
          <w:sz w:val="24"/>
        </w:rPr>
        <w:t>Bosnia and Herzegovina/</w:t>
      </w:r>
      <w:r w:rsidR="0047510C">
        <w:rPr>
          <w:sz w:val="24"/>
        </w:rPr>
        <w:t xml:space="preserve">Federation BiH </w:t>
      </w:r>
      <w:r w:rsidR="00861065" w:rsidRPr="00577E85">
        <w:rPr>
          <w:sz w:val="24"/>
        </w:rPr>
        <w:t xml:space="preserve"> </w:t>
      </w:r>
    </w:p>
    <w:p w14:paraId="3A6DCF55" w14:textId="77777777" w:rsidR="0087574E" w:rsidRPr="00577E85" w:rsidRDefault="0087574E" w:rsidP="00126B0D">
      <w:pPr>
        <w:rPr>
          <w:sz w:val="24"/>
        </w:rPr>
      </w:pPr>
    </w:p>
    <w:p w14:paraId="7F50B29F" w14:textId="79C47303" w:rsidR="00AF762E" w:rsidRPr="00577E85" w:rsidRDefault="00AF762E" w:rsidP="00126B0D">
      <w:pPr>
        <w:pStyle w:val="Heading2"/>
        <w:rPr>
          <w:sz w:val="24"/>
          <w:lang w:val="en-GB"/>
        </w:rPr>
      </w:pPr>
      <w:r w:rsidRPr="00577E85">
        <w:rPr>
          <w:sz w:val="24"/>
        </w:rPr>
        <w:t xml:space="preserve">2. </w:t>
      </w:r>
      <w:r w:rsidRPr="00577E85">
        <w:rPr>
          <w:b w:val="0"/>
          <w:bCs/>
          <w:sz w:val="24"/>
        </w:rPr>
        <w:t>Pr</w:t>
      </w:r>
      <w:r w:rsidR="009462AC" w:rsidRPr="00577E85">
        <w:rPr>
          <w:b w:val="0"/>
          <w:bCs/>
          <w:sz w:val="24"/>
        </w:rPr>
        <w:t>oject over</w:t>
      </w:r>
      <w:r w:rsidR="002376F1" w:rsidRPr="00577E85">
        <w:rPr>
          <w:b w:val="0"/>
          <w:bCs/>
          <w:sz w:val="24"/>
        </w:rPr>
        <w:t>view</w:t>
      </w:r>
      <w:r w:rsidR="006628C0" w:rsidRPr="00577E85">
        <w:rPr>
          <w:sz w:val="24"/>
        </w:rPr>
        <w:t xml:space="preserve"> </w:t>
      </w:r>
    </w:p>
    <w:p w14:paraId="4507209C" w14:textId="77777777" w:rsidR="00126B0D" w:rsidRPr="00577E85" w:rsidRDefault="00126B0D" w:rsidP="00126B0D">
      <w:pPr>
        <w:rPr>
          <w:sz w:val="24"/>
        </w:rPr>
      </w:pPr>
    </w:p>
    <w:p w14:paraId="3DF79A00" w14:textId="3A3677A4" w:rsidR="00287BCA" w:rsidRPr="00577E85" w:rsidRDefault="00853686" w:rsidP="00126B0D">
      <w:pPr>
        <w:rPr>
          <w:sz w:val="24"/>
        </w:rPr>
      </w:pPr>
      <w:r w:rsidRPr="00577E85">
        <w:rPr>
          <w:sz w:val="24"/>
        </w:rPr>
        <w:t>LORAI is a joint European Union–Council of Europe programme that aims to enhance the role and capacities of local authorities in the Western Balkans in implementing and monitoring the Reform Agendas under the EU’s Reform and Growth Facility, a key element in the region’s path towards EU accession.</w:t>
      </w:r>
    </w:p>
    <w:p w14:paraId="5C85DE27" w14:textId="77777777" w:rsidR="00853686" w:rsidRPr="00577E85" w:rsidRDefault="00853686" w:rsidP="00126B0D">
      <w:pPr>
        <w:rPr>
          <w:sz w:val="24"/>
        </w:rPr>
      </w:pPr>
    </w:p>
    <w:p w14:paraId="730C1743" w14:textId="4690F71D" w:rsidR="00D958A3" w:rsidRPr="00577E85" w:rsidRDefault="00853686" w:rsidP="00853686">
      <w:pPr>
        <w:rPr>
          <w:rFonts w:cs="Cambria"/>
          <w:color w:val="000000"/>
          <w:sz w:val="24"/>
          <w:lang w:eastAsia="mk-MK"/>
        </w:rPr>
      </w:pPr>
      <w:r w:rsidRPr="00577E85">
        <w:rPr>
          <w:rFonts w:cs="Cambria"/>
          <w:color w:val="000000"/>
          <w:sz w:val="24"/>
          <w:lang w:eastAsia="mk-MK"/>
        </w:rPr>
        <w:t>LORAI is implemented by the Congress of Local and Regional Authorities of the Council of Europe in partnership with</w:t>
      </w:r>
      <w:r w:rsidR="00D94248" w:rsidRPr="00577E85">
        <w:rPr>
          <w:rFonts w:cs="Cambria"/>
          <w:color w:val="000000"/>
          <w:sz w:val="24"/>
          <w:lang w:eastAsia="mk-MK"/>
        </w:rPr>
        <w:t xml:space="preserve"> </w:t>
      </w:r>
      <w:r w:rsidR="00D94248" w:rsidRPr="00577E85">
        <w:rPr>
          <w:rFonts w:asciiTheme="majorHAnsi" w:eastAsia="Aptos Light" w:hAnsiTheme="majorHAnsi" w:cs="Aptos Light"/>
          <w:sz w:val="24"/>
          <w:lang w:eastAsia="en-GB"/>
        </w:rPr>
        <w:t>the Network of Associations of Local Authorities of South-East Europe (</w:t>
      </w:r>
      <w:r w:rsidRPr="00577E85">
        <w:rPr>
          <w:rFonts w:cs="Cambria"/>
          <w:color w:val="000000"/>
          <w:sz w:val="24"/>
          <w:lang w:eastAsia="mk-MK"/>
        </w:rPr>
        <w:t xml:space="preserve"> </w:t>
      </w:r>
      <w:hyperlink r:id="rId8" w:history="1">
        <w:r w:rsidRPr="00577E85">
          <w:rPr>
            <w:rStyle w:val="Hyperlink"/>
            <w:rFonts w:cs="Cambria"/>
            <w:sz w:val="24"/>
            <w:lang w:eastAsia="mk-MK"/>
          </w:rPr>
          <w:t>NALAS</w:t>
        </w:r>
      </w:hyperlink>
      <w:r w:rsidRPr="00577E85">
        <w:rPr>
          <w:rFonts w:cs="Cambria"/>
          <w:color w:val="000000"/>
          <w:sz w:val="24"/>
          <w:lang w:eastAsia="mk-MK"/>
        </w:rPr>
        <w:t>,</w:t>
      </w:r>
      <w:r w:rsidR="00D94248" w:rsidRPr="00577E85">
        <w:rPr>
          <w:rFonts w:cs="Cambria"/>
          <w:color w:val="000000"/>
          <w:sz w:val="24"/>
          <w:lang w:eastAsia="mk-MK"/>
        </w:rPr>
        <w:t>)</w:t>
      </w:r>
      <w:r w:rsidRPr="00577E85">
        <w:rPr>
          <w:rFonts w:cs="Cambria"/>
          <w:color w:val="000000"/>
          <w:sz w:val="24"/>
          <w:lang w:eastAsia="mk-MK"/>
        </w:rPr>
        <w:t xml:space="preserve"> the Council of European Municipalities and Regions </w:t>
      </w:r>
      <w:hyperlink r:id="rId9" w:history="1">
        <w:r w:rsidRPr="00577E85">
          <w:rPr>
            <w:rStyle w:val="Hyperlink"/>
            <w:rFonts w:cs="Cambria"/>
            <w:sz w:val="24"/>
            <w:lang w:eastAsia="mk-MK"/>
          </w:rPr>
          <w:t>(CEMR)</w:t>
        </w:r>
      </w:hyperlink>
      <w:r w:rsidRPr="00577E85">
        <w:rPr>
          <w:rFonts w:cs="Cambria"/>
          <w:color w:val="000000"/>
          <w:sz w:val="24"/>
          <w:lang w:eastAsia="mk-MK"/>
        </w:rPr>
        <w:t>, and Local Government Associations (LGAs) in each Beneficiary.</w:t>
      </w:r>
    </w:p>
    <w:p w14:paraId="706FE7C9" w14:textId="77777777" w:rsidR="00CA40EB" w:rsidRPr="00577E85" w:rsidRDefault="00CA40EB" w:rsidP="00853686">
      <w:pPr>
        <w:rPr>
          <w:rFonts w:cs="Cambria"/>
          <w:color w:val="000000"/>
          <w:sz w:val="24"/>
          <w:lang w:eastAsia="mk-MK"/>
        </w:rPr>
      </w:pPr>
    </w:p>
    <w:p w14:paraId="520F072B" w14:textId="6EA2F405" w:rsidR="00AF762E" w:rsidRPr="00577E85" w:rsidRDefault="00AF762E" w:rsidP="00853686">
      <w:pPr>
        <w:rPr>
          <w:sz w:val="24"/>
        </w:rPr>
      </w:pPr>
    </w:p>
    <w:p w14:paraId="6B1747B0" w14:textId="5E7F0DE3" w:rsidR="00D62B0B" w:rsidRPr="00577E85" w:rsidRDefault="00D62B0B" w:rsidP="00853686">
      <w:pPr>
        <w:rPr>
          <w:sz w:val="24"/>
        </w:rPr>
      </w:pPr>
      <w:r w:rsidRPr="00577E85">
        <w:rPr>
          <w:sz w:val="24"/>
        </w:rPr>
        <w:t xml:space="preserve">In the </w:t>
      </w:r>
      <w:r w:rsidR="0047510C">
        <w:rPr>
          <w:sz w:val="24"/>
        </w:rPr>
        <w:t>Federation of Bosnia and Herzegovina</w:t>
      </w:r>
      <w:r w:rsidRPr="00577E85">
        <w:rPr>
          <w:sz w:val="24"/>
        </w:rPr>
        <w:t xml:space="preserve">, the </w:t>
      </w:r>
      <w:r w:rsidRPr="00577E85">
        <w:rPr>
          <w:rStyle w:val="whitespace-normal"/>
          <w:sz w:val="24"/>
        </w:rPr>
        <w:t xml:space="preserve">Association of Municipalities and Cities of the </w:t>
      </w:r>
      <w:r w:rsidR="0047510C">
        <w:rPr>
          <w:rStyle w:val="whitespace-normal"/>
          <w:sz w:val="24"/>
        </w:rPr>
        <w:t>Federation of Bosnia and Herzegovina</w:t>
      </w:r>
      <w:r w:rsidRPr="00577E85">
        <w:rPr>
          <w:sz w:val="24"/>
        </w:rPr>
        <w:t xml:space="preserve"> serve as the Programme’s implementing partner at the local level, while, together with the </w:t>
      </w:r>
      <w:r w:rsidRPr="00577E85">
        <w:rPr>
          <w:rStyle w:val="whitespace-normal"/>
          <w:sz w:val="24"/>
        </w:rPr>
        <w:t xml:space="preserve">Association of Municipalities and Cities of the </w:t>
      </w:r>
      <w:r w:rsidR="0047510C">
        <w:rPr>
          <w:rStyle w:val="whitespace-normal"/>
          <w:sz w:val="24"/>
        </w:rPr>
        <w:t>Republic of Srpska</w:t>
      </w:r>
      <w:r w:rsidRPr="00577E85">
        <w:rPr>
          <w:sz w:val="24"/>
        </w:rPr>
        <w:t>, it is also responsible for coordination and implementation at the national level.</w:t>
      </w:r>
    </w:p>
    <w:p w14:paraId="2693FC65" w14:textId="77777777" w:rsidR="006628C0" w:rsidRPr="00577E85" w:rsidRDefault="006628C0" w:rsidP="00853686">
      <w:pPr>
        <w:rPr>
          <w:b/>
          <w:bCs/>
          <w:sz w:val="24"/>
        </w:rPr>
      </w:pPr>
    </w:p>
    <w:p w14:paraId="64C569B4" w14:textId="77777777" w:rsidR="00853686" w:rsidRPr="00D57337" w:rsidRDefault="00853686" w:rsidP="00126B0D">
      <w:pPr>
        <w:rPr>
          <w:sz w:val="24"/>
        </w:rPr>
      </w:pPr>
    </w:p>
    <w:p w14:paraId="3234E696" w14:textId="01522B1D" w:rsidR="00853686" w:rsidRPr="00A950B0" w:rsidRDefault="00853686" w:rsidP="00853686">
      <w:pPr>
        <w:rPr>
          <w:rFonts w:cs="Cambria"/>
          <w:color w:val="000000"/>
          <w:sz w:val="24"/>
          <w:lang w:eastAsia="mk-MK"/>
        </w:rPr>
      </w:pPr>
      <w:r w:rsidRPr="00A950B0">
        <w:rPr>
          <w:rFonts w:cs="Cambria"/>
          <w:color w:val="000000"/>
          <w:sz w:val="24"/>
          <w:lang w:eastAsia="mk-MK"/>
        </w:rPr>
        <w:t>LORAI objectives:</w:t>
      </w:r>
    </w:p>
    <w:p w14:paraId="10B3B70A" w14:textId="77777777" w:rsidR="00CA40EB" w:rsidRPr="00A950B0" w:rsidRDefault="00853686" w:rsidP="00CA40EB">
      <w:pPr>
        <w:numPr>
          <w:ilvl w:val="0"/>
          <w:numId w:val="6"/>
        </w:numPr>
        <w:rPr>
          <w:rFonts w:cs="Cambria"/>
          <w:color w:val="000000"/>
          <w:sz w:val="24"/>
          <w:lang w:eastAsia="mk-MK"/>
        </w:rPr>
      </w:pPr>
      <w:r w:rsidRPr="00A950B0">
        <w:rPr>
          <w:rFonts w:cs="Cambria"/>
          <w:color w:val="000000"/>
          <w:sz w:val="24"/>
          <w:lang w:eastAsia="mk-MK"/>
        </w:rPr>
        <w:t>Strengthen</w:t>
      </w:r>
      <w:r w:rsidR="007D7183" w:rsidRPr="00A950B0">
        <w:rPr>
          <w:rFonts w:cs="Cambria"/>
          <w:color w:val="000000"/>
          <w:sz w:val="24"/>
          <w:lang w:eastAsia="mk-MK"/>
        </w:rPr>
        <w:t>ing</w:t>
      </w:r>
      <w:r w:rsidRPr="00A950B0">
        <w:rPr>
          <w:rFonts w:cs="Cambria"/>
          <w:color w:val="000000"/>
          <w:sz w:val="24"/>
          <w:lang w:eastAsia="mk-MK"/>
        </w:rPr>
        <w:t xml:space="preserve"> the monitoring process of </w:t>
      </w:r>
      <w:r w:rsidR="007D7183" w:rsidRPr="00A950B0">
        <w:rPr>
          <w:rFonts w:cs="Cambria"/>
          <w:color w:val="000000"/>
          <w:sz w:val="24"/>
          <w:lang w:eastAsia="mk-MK"/>
        </w:rPr>
        <w:t xml:space="preserve">the implementation of the </w:t>
      </w:r>
      <w:r w:rsidRPr="00A950B0">
        <w:rPr>
          <w:rFonts w:cs="Cambria"/>
          <w:color w:val="000000"/>
          <w:sz w:val="24"/>
          <w:lang w:eastAsia="mk-MK"/>
        </w:rPr>
        <w:t>Reform Agenda</w:t>
      </w:r>
      <w:r w:rsidR="00B97A61" w:rsidRPr="00A950B0">
        <w:rPr>
          <w:rFonts w:cs="Cambria"/>
          <w:color w:val="000000"/>
          <w:sz w:val="24"/>
          <w:lang w:eastAsia="mk-MK"/>
        </w:rPr>
        <w:t>s</w:t>
      </w:r>
      <w:r w:rsidRPr="00A950B0">
        <w:rPr>
          <w:rFonts w:cs="Cambria"/>
          <w:color w:val="000000"/>
          <w:sz w:val="24"/>
          <w:lang w:eastAsia="mk-MK"/>
        </w:rPr>
        <w:t xml:space="preserve">, </w:t>
      </w:r>
      <w:r w:rsidR="007D7183" w:rsidRPr="00A950B0">
        <w:rPr>
          <w:rFonts w:cs="Cambria"/>
          <w:color w:val="000000"/>
          <w:sz w:val="24"/>
          <w:lang w:eastAsia="mk-MK"/>
        </w:rPr>
        <w:t xml:space="preserve">ensuring </w:t>
      </w:r>
      <w:r w:rsidRPr="00A950B0">
        <w:rPr>
          <w:rFonts w:cs="Cambria"/>
          <w:color w:val="000000"/>
          <w:sz w:val="24"/>
          <w:lang w:eastAsia="mk-MK"/>
        </w:rPr>
        <w:t>meaningful and effective participation of local authorities</w:t>
      </w:r>
      <w:r w:rsidR="007D7183" w:rsidRPr="00A950B0">
        <w:rPr>
          <w:rFonts w:cs="Cambria"/>
          <w:color w:val="000000"/>
          <w:sz w:val="24"/>
          <w:lang w:eastAsia="mk-MK"/>
        </w:rPr>
        <w:t xml:space="preserve">, and </w:t>
      </w:r>
      <w:r w:rsidRPr="00A950B0">
        <w:rPr>
          <w:rFonts w:cs="Cambria"/>
          <w:color w:val="000000"/>
          <w:sz w:val="24"/>
          <w:lang w:eastAsia="mk-MK"/>
        </w:rPr>
        <w:t> </w:t>
      </w:r>
    </w:p>
    <w:p w14:paraId="0B2511AD" w14:textId="677BBAA2" w:rsidR="00853686" w:rsidRPr="00A950B0" w:rsidRDefault="007D7183" w:rsidP="00CA40EB">
      <w:pPr>
        <w:numPr>
          <w:ilvl w:val="0"/>
          <w:numId w:val="6"/>
        </w:numPr>
        <w:rPr>
          <w:rFonts w:cs="Cambria"/>
          <w:color w:val="000000"/>
          <w:sz w:val="24"/>
          <w:lang w:eastAsia="mk-MK"/>
        </w:rPr>
      </w:pPr>
      <w:r w:rsidRPr="00A950B0">
        <w:rPr>
          <w:rFonts w:cs="Cambria"/>
          <w:color w:val="000000"/>
          <w:sz w:val="24"/>
          <w:lang w:eastAsia="mk-MK"/>
        </w:rPr>
        <w:t xml:space="preserve">Strengthening </w:t>
      </w:r>
      <w:r w:rsidR="00853686" w:rsidRPr="00A950B0">
        <w:rPr>
          <w:rFonts w:cs="Cambria"/>
          <w:color w:val="000000"/>
          <w:sz w:val="24"/>
          <w:lang w:eastAsia="mk-MK"/>
        </w:rPr>
        <w:t xml:space="preserve">engagement </w:t>
      </w:r>
      <w:r w:rsidRPr="00A950B0">
        <w:rPr>
          <w:rFonts w:cs="Cambria"/>
          <w:color w:val="000000"/>
          <w:sz w:val="24"/>
          <w:lang w:eastAsia="mk-MK"/>
        </w:rPr>
        <w:t xml:space="preserve">of local authorities and their associations to advocate for and contribute to the inclusive implementation of the Reform Agendas and the development of policy and investment priorities. </w:t>
      </w:r>
    </w:p>
    <w:p w14:paraId="18588BEA" w14:textId="77777777" w:rsidR="00CA40EB" w:rsidRPr="00A950B0" w:rsidRDefault="00CA40EB" w:rsidP="00853686">
      <w:pPr>
        <w:rPr>
          <w:rFonts w:cs="Cambria"/>
          <w:color w:val="000000"/>
          <w:sz w:val="24"/>
          <w:lang w:eastAsia="mk-MK"/>
        </w:rPr>
      </w:pPr>
    </w:p>
    <w:p w14:paraId="499B5CF9" w14:textId="32EF107E" w:rsidR="00853686" w:rsidRPr="00A950B0" w:rsidRDefault="00853686" w:rsidP="00853686">
      <w:pPr>
        <w:rPr>
          <w:rFonts w:cs="Cambria"/>
          <w:color w:val="000000"/>
          <w:sz w:val="24"/>
          <w:lang w:eastAsia="mk-MK"/>
        </w:rPr>
      </w:pPr>
      <w:r w:rsidRPr="00A950B0">
        <w:rPr>
          <w:rFonts w:cs="Cambria"/>
          <w:color w:val="000000"/>
          <w:sz w:val="24"/>
          <w:lang w:eastAsia="mk-MK"/>
        </w:rPr>
        <w:t xml:space="preserve">The success of the Reform Agendas requires institutions at every level to effectively implement and monitor them; however, recent assessments reveal that local authorities </w:t>
      </w:r>
      <w:r w:rsidR="00D94248" w:rsidRPr="00A950B0">
        <w:rPr>
          <w:rFonts w:cs="Cambria"/>
          <w:color w:val="000000"/>
          <w:sz w:val="24"/>
          <w:lang w:eastAsia="mk-MK"/>
        </w:rPr>
        <w:t>have limited involvement</w:t>
      </w:r>
      <w:r w:rsidRPr="00A950B0">
        <w:rPr>
          <w:rFonts w:cs="Cambria"/>
          <w:color w:val="000000"/>
          <w:sz w:val="24"/>
          <w:lang w:eastAsia="mk-MK"/>
        </w:rPr>
        <w:t xml:space="preserve"> in these processes.</w:t>
      </w:r>
    </w:p>
    <w:p w14:paraId="05EAE14D" w14:textId="77777777" w:rsidR="00C34DBB" w:rsidRPr="00A950B0" w:rsidRDefault="00C34DBB" w:rsidP="00853686">
      <w:pPr>
        <w:rPr>
          <w:rFonts w:cs="Cambria"/>
          <w:color w:val="000000"/>
          <w:sz w:val="24"/>
          <w:lang w:eastAsia="mk-MK"/>
        </w:rPr>
      </w:pPr>
    </w:p>
    <w:p w14:paraId="684AA594" w14:textId="3062B37C" w:rsidR="00853686" w:rsidRPr="00A950B0" w:rsidRDefault="00853686" w:rsidP="00853686">
      <w:pPr>
        <w:rPr>
          <w:rFonts w:cs="Cambria"/>
          <w:color w:val="000000"/>
          <w:sz w:val="24"/>
          <w:lang w:eastAsia="mk-MK"/>
        </w:rPr>
      </w:pPr>
      <w:r w:rsidRPr="00A950B0">
        <w:rPr>
          <w:rFonts w:cs="Cambria"/>
          <w:color w:val="000000"/>
          <w:sz w:val="24"/>
          <w:lang w:eastAsia="mk-MK"/>
        </w:rPr>
        <w:lastRenderedPageBreak/>
        <w:t>To address this gap and to strengthen reform effectiveness, foster public trust and accountability, the programme</w:t>
      </w:r>
      <w:r w:rsidR="00D94248" w:rsidRPr="00A950B0">
        <w:rPr>
          <w:rFonts w:cs="Cambria"/>
          <w:color w:val="000000"/>
          <w:sz w:val="24"/>
          <w:lang w:eastAsia="mk-MK"/>
        </w:rPr>
        <w:t xml:space="preserve"> aims to</w:t>
      </w:r>
      <w:r w:rsidRPr="00A950B0">
        <w:rPr>
          <w:rFonts w:cs="Cambria"/>
          <w:color w:val="000000"/>
          <w:sz w:val="24"/>
          <w:lang w:eastAsia="mk-MK"/>
        </w:rPr>
        <w:t>:</w:t>
      </w:r>
    </w:p>
    <w:p w14:paraId="12BF18E7" w14:textId="5E14C379" w:rsidR="00853686" w:rsidRPr="00A950B0" w:rsidRDefault="00C34DBB" w:rsidP="00F452C2">
      <w:pPr>
        <w:numPr>
          <w:ilvl w:val="0"/>
          <w:numId w:val="7"/>
        </w:numPr>
        <w:rPr>
          <w:rFonts w:cs="Cambria"/>
          <w:color w:val="000000"/>
          <w:sz w:val="24"/>
          <w:lang w:eastAsia="mk-MK"/>
        </w:rPr>
      </w:pPr>
      <w:r w:rsidRPr="00A950B0">
        <w:rPr>
          <w:rFonts w:cs="Cambria"/>
          <w:color w:val="000000"/>
          <w:sz w:val="24"/>
          <w:lang w:eastAsia="mk-MK"/>
        </w:rPr>
        <w:t>E</w:t>
      </w:r>
      <w:r w:rsidR="00853686" w:rsidRPr="00A950B0">
        <w:rPr>
          <w:rFonts w:cs="Cambria"/>
          <w:color w:val="000000"/>
          <w:sz w:val="24"/>
          <w:lang w:eastAsia="mk-MK"/>
        </w:rPr>
        <w:t>stablish an open-access dashboard that presents the impact of reform implementation at the local level </w:t>
      </w:r>
    </w:p>
    <w:p w14:paraId="482B0C3E" w14:textId="7D673A63" w:rsidR="00853686" w:rsidRPr="00A950B0" w:rsidRDefault="00C34DBB" w:rsidP="00F452C2">
      <w:pPr>
        <w:numPr>
          <w:ilvl w:val="0"/>
          <w:numId w:val="7"/>
        </w:numPr>
        <w:rPr>
          <w:rFonts w:cs="Cambria"/>
          <w:color w:val="000000"/>
          <w:sz w:val="24"/>
          <w:lang w:eastAsia="mk-MK"/>
        </w:rPr>
      </w:pPr>
      <w:r w:rsidRPr="00A950B0">
        <w:rPr>
          <w:rFonts w:cs="Cambria"/>
          <w:color w:val="000000"/>
          <w:sz w:val="24"/>
          <w:lang w:eastAsia="mk-MK"/>
        </w:rPr>
        <w:t>R</w:t>
      </w:r>
      <w:r w:rsidR="00853686" w:rsidRPr="00A950B0">
        <w:rPr>
          <w:rFonts w:cs="Cambria"/>
          <w:color w:val="000000"/>
          <w:sz w:val="24"/>
          <w:lang w:eastAsia="mk-MK"/>
        </w:rPr>
        <w:t>einforce principles of inclusive multilevel governance and dialogue-building among all levels of government and</w:t>
      </w:r>
    </w:p>
    <w:p w14:paraId="36817473" w14:textId="09061D9C" w:rsidR="00853686" w:rsidRPr="00A950B0" w:rsidRDefault="00C34DBB" w:rsidP="00F452C2">
      <w:pPr>
        <w:numPr>
          <w:ilvl w:val="0"/>
          <w:numId w:val="7"/>
        </w:numPr>
        <w:rPr>
          <w:rFonts w:cs="Cambria"/>
          <w:color w:val="000000"/>
          <w:sz w:val="24"/>
          <w:lang w:eastAsia="mk-MK"/>
        </w:rPr>
      </w:pPr>
      <w:r w:rsidRPr="00A950B0">
        <w:rPr>
          <w:rFonts w:cs="Cambria"/>
          <w:color w:val="000000"/>
          <w:sz w:val="24"/>
          <w:lang w:eastAsia="mk-MK"/>
        </w:rPr>
        <w:t>A</w:t>
      </w:r>
      <w:r w:rsidR="00853686" w:rsidRPr="00A950B0">
        <w:rPr>
          <w:rFonts w:cs="Cambria"/>
          <w:color w:val="000000"/>
          <w:sz w:val="24"/>
          <w:lang w:eastAsia="mk-MK"/>
        </w:rPr>
        <w:t>dvance regional peer learning and knowledge sharing.</w:t>
      </w:r>
    </w:p>
    <w:p w14:paraId="1F5D3606" w14:textId="77777777" w:rsidR="00853686" w:rsidRPr="00A950B0" w:rsidRDefault="00853686" w:rsidP="00853686">
      <w:pPr>
        <w:rPr>
          <w:rFonts w:cs="Cambria"/>
          <w:color w:val="000000"/>
          <w:sz w:val="24"/>
          <w:lang w:eastAsia="mk-MK"/>
        </w:rPr>
      </w:pPr>
      <w:r w:rsidRPr="00A950B0">
        <w:rPr>
          <w:rFonts w:cs="Cambria"/>
          <w:color w:val="000000"/>
          <w:sz w:val="24"/>
          <w:lang w:eastAsia="mk-MK"/>
        </w:rPr>
        <w:t> </w:t>
      </w:r>
    </w:p>
    <w:p w14:paraId="61D5940C" w14:textId="77777777" w:rsidR="006628C0" w:rsidRPr="00A950B0" w:rsidRDefault="006628C0" w:rsidP="00853686">
      <w:pPr>
        <w:rPr>
          <w:rFonts w:cs="Cambria"/>
          <w:color w:val="000000"/>
          <w:sz w:val="24"/>
          <w:lang w:eastAsia="mk-MK"/>
        </w:rPr>
      </w:pPr>
    </w:p>
    <w:p w14:paraId="0D8C95CB" w14:textId="77777777" w:rsidR="00C34DBB" w:rsidRPr="00A950B0" w:rsidRDefault="00C34DBB" w:rsidP="00853686">
      <w:pPr>
        <w:rPr>
          <w:rFonts w:cs="Cambria"/>
          <w:color w:val="000000"/>
          <w:sz w:val="24"/>
          <w:lang w:eastAsia="mk-MK"/>
        </w:rPr>
      </w:pPr>
    </w:p>
    <w:p w14:paraId="09EDBB91" w14:textId="77777777" w:rsidR="00296B81" w:rsidRDefault="00853686" w:rsidP="00853686">
      <w:pPr>
        <w:rPr>
          <w:rFonts w:cs="Cambria"/>
          <w:color w:val="000000"/>
          <w:sz w:val="24"/>
          <w:lang w:eastAsia="mk-MK"/>
        </w:rPr>
      </w:pPr>
      <w:r w:rsidRPr="00A950B0">
        <w:rPr>
          <w:rFonts w:cs="Cambria"/>
          <w:color w:val="000000"/>
          <w:sz w:val="24"/>
          <w:lang w:eastAsia="mk-MK"/>
        </w:rPr>
        <w:t>LORAI is anchored in the Western Balkans Growth Plan and aligns with </w:t>
      </w:r>
      <w:hyperlink r:id="rId10" w:history="1">
        <w:r w:rsidRPr="00A950B0">
          <w:rPr>
            <w:rStyle w:val="Hyperlink"/>
            <w:rFonts w:cs="Cambria"/>
            <w:sz w:val="24"/>
            <w:lang w:eastAsia="mk-MK"/>
          </w:rPr>
          <w:t>Regulation (EU) 2024/1449</w:t>
        </w:r>
      </w:hyperlink>
      <w:r w:rsidRPr="00A950B0">
        <w:rPr>
          <w:rFonts w:cs="Cambria"/>
          <w:color w:val="000000"/>
          <w:sz w:val="24"/>
          <w:lang w:eastAsia="mk-MK"/>
        </w:rPr>
        <w:t>, which emphasises inclusive reform implementation and meaningful local government participation.</w:t>
      </w:r>
    </w:p>
    <w:p w14:paraId="1131C8C6" w14:textId="00415969" w:rsidR="00853686" w:rsidRPr="00A950B0" w:rsidRDefault="00853686" w:rsidP="00853686">
      <w:pPr>
        <w:rPr>
          <w:rFonts w:cs="Cambria"/>
          <w:color w:val="000000"/>
          <w:sz w:val="24"/>
          <w:lang w:eastAsia="mk-MK"/>
        </w:rPr>
      </w:pPr>
      <w:r w:rsidRPr="00A950B0">
        <w:rPr>
          <w:rFonts w:cs="Cambria"/>
          <w:color w:val="000000"/>
          <w:sz w:val="24"/>
          <w:lang w:eastAsia="mk-MK"/>
        </w:rPr>
        <w:t>The programme is based on the principles of the </w:t>
      </w:r>
      <w:hyperlink r:id="rId11" w:history="1">
        <w:r w:rsidRPr="00A950B0">
          <w:rPr>
            <w:rStyle w:val="Hyperlink"/>
            <w:rFonts w:cs="Cambria"/>
            <w:sz w:val="24"/>
            <w:lang w:eastAsia="mk-MK"/>
          </w:rPr>
          <w:t>European Charter of Local Self-Government</w:t>
        </w:r>
      </w:hyperlink>
      <w:r w:rsidRPr="00A950B0">
        <w:rPr>
          <w:rFonts w:cs="Cambria"/>
          <w:color w:val="000000"/>
          <w:sz w:val="24"/>
          <w:lang w:eastAsia="mk-MK"/>
        </w:rPr>
        <w:t>, a Council of Europe treaty which lays down standards for protecting local and regional democracy in Europe. </w:t>
      </w:r>
    </w:p>
    <w:p w14:paraId="530E78DB" w14:textId="77777777" w:rsidR="00853686" w:rsidRPr="00A950B0" w:rsidRDefault="00853686" w:rsidP="00126B0D">
      <w:pPr>
        <w:rPr>
          <w:rFonts w:cs="Cambria"/>
          <w:color w:val="000000"/>
          <w:sz w:val="24"/>
          <w:lang w:eastAsia="mk-MK"/>
        </w:rPr>
      </w:pPr>
    </w:p>
    <w:p w14:paraId="3547A193" w14:textId="77777777" w:rsidR="006628C0" w:rsidRPr="00A950B0" w:rsidRDefault="006628C0" w:rsidP="00126B0D">
      <w:pPr>
        <w:rPr>
          <w:rFonts w:cs="Cambria"/>
          <w:b/>
          <w:bCs/>
          <w:color w:val="000000"/>
          <w:sz w:val="24"/>
          <w:lang w:eastAsia="mk-MK"/>
        </w:rPr>
      </w:pPr>
    </w:p>
    <w:p w14:paraId="51D666F0" w14:textId="77777777" w:rsidR="00287BCA" w:rsidRPr="00A950B0" w:rsidRDefault="00287BCA" w:rsidP="00126B0D">
      <w:pPr>
        <w:tabs>
          <w:tab w:val="left" w:pos="2024"/>
        </w:tabs>
        <w:rPr>
          <w:rFonts w:cs="Arial"/>
          <w:sz w:val="24"/>
        </w:rPr>
      </w:pPr>
    </w:p>
    <w:p w14:paraId="0A6092B7" w14:textId="0920EE93" w:rsidR="00A81158" w:rsidRPr="00A950B0" w:rsidRDefault="00BD1074" w:rsidP="00126B0D">
      <w:pPr>
        <w:pStyle w:val="Heading2"/>
        <w:rPr>
          <w:sz w:val="24"/>
          <w:lang w:val="en-GB"/>
        </w:rPr>
      </w:pPr>
      <w:r w:rsidRPr="00A950B0">
        <w:rPr>
          <w:sz w:val="24"/>
          <w:lang w:val="en-GB"/>
        </w:rPr>
        <w:t>3</w:t>
      </w:r>
      <w:r w:rsidR="00DA44EE" w:rsidRPr="00A950B0">
        <w:rPr>
          <w:sz w:val="24"/>
          <w:lang w:val="en-GB"/>
        </w:rPr>
        <w:t>.</w:t>
      </w:r>
      <w:r w:rsidR="00A81158" w:rsidRPr="00A950B0">
        <w:rPr>
          <w:sz w:val="24"/>
          <w:lang w:val="en-GB"/>
        </w:rPr>
        <w:t xml:space="preserve"> </w:t>
      </w:r>
      <w:r w:rsidR="00357C59" w:rsidRPr="00A950B0">
        <w:rPr>
          <w:b w:val="0"/>
          <w:bCs/>
          <w:sz w:val="24"/>
          <w:lang w:val="en-GB"/>
        </w:rPr>
        <w:t xml:space="preserve">The </w:t>
      </w:r>
      <w:r w:rsidR="00D34FDC" w:rsidRPr="00A950B0">
        <w:rPr>
          <w:b w:val="0"/>
          <w:bCs/>
          <w:sz w:val="24"/>
          <w:lang w:val="en-GB"/>
        </w:rPr>
        <w:t>Objectives</w:t>
      </w:r>
      <w:r w:rsidR="00CC42C3" w:rsidRPr="00A950B0">
        <w:rPr>
          <w:b w:val="0"/>
          <w:bCs/>
          <w:sz w:val="24"/>
          <w:lang w:val="en-GB"/>
        </w:rPr>
        <w:t xml:space="preserve"> of the Assignment</w:t>
      </w:r>
      <w:r w:rsidR="006628C0" w:rsidRPr="00A950B0">
        <w:rPr>
          <w:sz w:val="24"/>
          <w:lang w:val="en-GB"/>
        </w:rPr>
        <w:t xml:space="preserve"> </w:t>
      </w:r>
    </w:p>
    <w:p w14:paraId="4B6325C9" w14:textId="77777777" w:rsidR="005757CF" w:rsidRPr="00A950B0" w:rsidRDefault="005757CF" w:rsidP="005757CF">
      <w:pPr>
        <w:rPr>
          <w:rFonts w:asciiTheme="majorHAnsi" w:eastAsia="Aptos Light" w:hAnsiTheme="majorHAnsi" w:cs="Aptos Light"/>
          <w:sz w:val="24"/>
          <w:lang w:eastAsia="en-GB"/>
        </w:rPr>
      </w:pPr>
    </w:p>
    <w:p w14:paraId="36944448" w14:textId="6E075311" w:rsidR="00CF1B41" w:rsidRPr="00A950B0" w:rsidRDefault="00CF1B41" w:rsidP="00EC06EA">
      <w:pPr>
        <w:spacing w:after="160" w:line="259" w:lineRule="auto"/>
        <w:rPr>
          <w:sz w:val="24"/>
        </w:rPr>
      </w:pPr>
      <w:r w:rsidRPr="00A950B0">
        <w:rPr>
          <w:rFonts w:asciiTheme="majorHAnsi" w:eastAsia="Aptos Light" w:hAnsiTheme="majorHAnsi" w:cs="Aptos Light"/>
          <w:sz w:val="24"/>
          <w:lang w:eastAsia="en-GB"/>
        </w:rPr>
        <w:t xml:space="preserve">At the regional level, NALAS </w:t>
      </w:r>
      <w:r w:rsidR="00137187" w:rsidRPr="00A950B0">
        <w:rPr>
          <w:rFonts w:asciiTheme="majorHAnsi" w:eastAsia="Aptos Light" w:hAnsiTheme="majorHAnsi" w:cs="Aptos Light"/>
          <w:sz w:val="24"/>
          <w:lang w:eastAsia="en-GB"/>
        </w:rPr>
        <w:t xml:space="preserve">will conduct a </w:t>
      </w:r>
      <w:r w:rsidRPr="00A950B0">
        <w:rPr>
          <w:rFonts w:asciiTheme="majorHAnsi" w:eastAsia="Aptos Light" w:hAnsiTheme="majorHAnsi" w:cs="Aptos Light"/>
          <w:sz w:val="24"/>
          <w:lang w:eastAsia="en-GB"/>
        </w:rPr>
        <w:t>regional baseline study</w:t>
      </w:r>
      <w:r w:rsidR="00137187" w:rsidRPr="00A950B0">
        <w:rPr>
          <w:rFonts w:asciiTheme="majorHAnsi" w:eastAsia="Aptos Light" w:hAnsiTheme="majorHAnsi" w:cs="Aptos Light"/>
          <w:sz w:val="24"/>
          <w:lang w:eastAsia="en-GB"/>
        </w:rPr>
        <w:t xml:space="preserve"> and develop the methodology and the guidelines for data collection</w:t>
      </w:r>
      <w:r w:rsidR="00CA40EB" w:rsidRPr="00A950B0">
        <w:rPr>
          <w:rFonts w:asciiTheme="majorHAnsi" w:eastAsia="Aptos Light" w:hAnsiTheme="majorHAnsi" w:cs="Aptos Light"/>
          <w:sz w:val="24"/>
          <w:lang w:eastAsia="en-GB"/>
        </w:rPr>
        <w:t>,</w:t>
      </w:r>
      <w:r w:rsidRPr="00A950B0">
        <w:rPr>
          <w:rFonts w:asciiTheme="majorHAnsi" w:eastAsia="Aptos Light" w:hAnsiTheme="majorHAnsi" w:cs="Aptos Light"/>
          <w:sz w:val="24"/>
          <w:lang w:eastAsia="en-GB"/>
        </w:rPr>
        <w:t xml:space="preserve"> developing and operationalising the LORAI dashboard, issuing regional reports, p</w:t>
      </w:r>
      <w:r w:rsidRPr="00A950B0">
        <w:rPr>
          <w:sz w:val="24"/>
        </w:rPr>
        <w:t>roviding methodological support to LGAs for data collection, ensuring coherence and quality across all Beneficiaries, ensuring the quality of the information collected and its integration into the LORAI dashboard.</w:t>
      </w:r>
    </w:p>
    <w:p w14:paraId="1008D221" w14:textId="39D18A51" w:rsidR="00A768B5" w:rsidRPr="00A950B0" w:rsidRDefault="00A768B5" w:rsidP="00A768B5">
      <w:pPr>
        <w:rPr>
          <w:rFonts w:asciiTheme="majorHAnsi" w:eastAsia="Aptos Light" w:hAnsiTheme="majorHAnsi" w:cs="Aptos Light"/>
          <w:sz w:val="24"/>
          <w:lang w:eastAsia="en-GB"/>
        </w:rPr>
      </w:pPr>
      <w:r w:rsidRPr="00AD46F3">
        <w:rPr>
          <w:rFonts w:asciiTheme="majorHAnsi" w:eastAsia="Aptos Light" w:hAnsiTheme="majorHAnsi" w:cs="Aptos Light"/>
          <w:sz w:val="24"/>
          <w:lang w:eastAsia="en-GB"/>
        </w:rPr>
        <w:t xml:space="preserve">The Local Expert is expected to coordinate closely with </w:t>
      </w:r>
      <w:r w:rsidR="00490415" w:rsidRPr="00AD46F3">
        <w:rPr>
          <w:rFonts w:asciiTheme="majorHAnsi" w:eastAsia="Aptos Light" w:hAnsiTheme="majorHAnsi" w:cs="Aptos Light"/>
          <w:sz w:val="24"/>
          <w:lang w:eastAsia="en-GB"/>
        </w:rPr>
        <w:t xml:space="preserve">the expert from the Association of Municipalities and Cities of </w:t>
      </w:r>
      <w:r w:rsidR="0047510C">
        <w:rPr>
          <w:rFonts w:asciiTheme="majorHAnsi" w:eastAsia="Aptos Light" w:hAnsiTheme="majorHAnsi" w:cs="Aptos Light"/>
          <w:sz w:val="24"/>
          <w:lang w:eastAsia="en-GB"/>
        </w:rPr>
        <w:t xml:space="preserve">Republic of </w:t>
      </w:r>
      <w:r w:rsidR="00EC446C">
        <w:rPr>
          <w:rFonts w:asciiTheme="majorHAnsi" w:eastAsia="Aptos Light" w:hAnsiTheme="majorHAnsi" w:cs="Aptos Light"/>
          <w:sz w:val="24"/>
          <w:lang w:eastAsia="en-GB"/>
        </w:rPr>
        <w:t xml:space="preserve">Srpska </w:t>
      </w:r>
      <w:r w:rsidR="00EC446C" w:rsidRPr="00AD46F3">
        <w:rPr>
          <w:rFonts w:asciiTheme="majorHAnsi" w:eastAsia="Aptos Light" w:hAnsiTheme="majorHAnsi" w:cs="Aptos Light"/>
          <w:sz w:val="24"/>
          <w:lang w:eastAsia="en-GB"/>
        </w:rPr>
        <w:t>in</w:t>
      </w:r>
      <w:r w:rsidR="00490415" w:rsidRPr="00AD46F3">
        <w:rPr>
          <w:rFonts w:asciiTheme="majorHAnsi" w:eastAsia="Aptos Light" w:hAnsiTheme="majorHAnsi" w:cs="Aptos Light"/>
          <w:sz w:val="24"/>
          <w:lang w:eastAsia="en-GB"/>
        </w:rPr>
        <w:t xml:space="preserve"> creation of a joint report. Further cooperation and consultation </w:t>
      </w:r>
      <w:r w:rsidR="0097186A" w:rsidRPr="00AD46F3">
        <w:rPr>
          <w:rFonts w:asciiTheme="majorHAnsi" w:eastAsia="Aptos Light" w:hAnsiTheme="majorHAnsi" w:cs="Aptos Light"/>
          <w:sz w:val="24"/>
          <w:lang w:eastAsia="en-GB"/>
        </w:rPr>
        <w:t>are</w:t>
      </w:r>
      <w:r w:rsidR="00490415" w:rsidRPr="00AD46F3">
        <w:rPr>
          <w:rFonts w:asciiTheme="majorHAnsi" w:eastAsia="Aptos Light" w:hAnsiTheme="majorHAnsi" w:cs="Aptos Light"/>
          <w:sz w:val="24"/>
          <w:lang w:eastAsia="en-GB"/>
        </w:rPr>
        <w:t xml:space="preserve"> expected with </w:t>
      </w:r>
      <w:r w:rsidRPr="00AD46F3">
        <w:rPr>
          <w:rFonts w:asciiTheme="majorHAnsi" w:eastAsia="Aptos Light" w:hAnsiTheme="majorHAnsi" w:cs="Aptos Light"/>
          <w:sz w:val="24"/>
          <w:lang w:eastAsia="en-GB"/>
        </w:rPr>
        <w:t>the regional and international experts engaged under the programme.</w:t>
      </w:r>
      <w:r w:rsidRPr="00A950B0">
        <w:rPr>
          <w:rFonts w:asciiTheme="majorHAnsi" w:eastAsia="Aptos Light" w:hAnsiTheme="majorHAnsi" w:cs="Aptos Light"/>
          <w:sz w:val="24"/>
          <w:lang w:eastAsia="en-GB"/>
        </w:rPr>
        <w:t xml:space="preserve"> </w:t>
      </w:r>
    </w:p>
    <w:p w14:paraId="61758C13" w14:textId="77777777" w:rsidR="00CF1B41" w:rsidRPr="00A950B0" w:rsidRDefault="00CF1B41" w:rsidP="00EC06EA">
      <w:pPr>
        <w:rPr>
          <w:rFonts w:asciiTheme="majorHAnsi" w:eastAsia="Aptos Light" w:hAnsiTheme="majorHAnsi" w:cs="Aptos Light"/>
          <w:sz w:val="24"/>
          <w:lang w:eastAsia="en-GB"/>
        </w:rPr>
      </w:pPr>
    </w:p>
    <w:p w14:paraId="1086BABD" w14:textId="0CA3057C" w:rsidR="00137187" w:rsidRPr="00A950B0" w:rsidRDefault="00CF1B41" w:rsidP="00EC06EA">
      <w:p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 xml:space="preserve">In line with </w:t>
      </w:r>
      <w:r w:rsidR="00D94248" w:rsidRPr="00A950B0">
        <w:rPr>
          <w:rFonts w:asciiTheme="majorHAnsi" w:eastAsia="Aptos Light" w:hAnsiTheme="majorHAnsi" w:cs="Aptos Light"/>
          <w:sz w:val="24"/>
          <w:lang w:eastAsia="en-GB"/>
        </w:rPr>
        <w:t>programme objectives</w:t>
      </w:r>
      <w:r w:rsidRPr="00A950B0">
        <w:rPr>
          <w:rFonts w:asciiTheme="majorHAnsi" w:eastAsia="Aptos Light" w:hAnsiTheme="majorHAnsi" w:cs="Aptos Light"/>
          <w:sz w:val="24"/>
          <w:lang w:eastAsia="en-GB"/>
        </w:rPr>
        <w:t xml:space="preserve"> </w:t>
      </w:r>
      <w:r w:rsidR="00465D8D" w:rsidRPr="00A950B0">
        <w:rPr>
          <w:rFonts w:asciiTheme="majorHAnsi" w:eastAsia="Aptos Light" w:hAnsiTheme="majorHAnsi" w:cs="Aptos Light"/>
          <w:sz w:val="24"/>
          <w:lang w:eastAsia="en-GB"/>
        </w:rPr>
        <w:t>the local experts are expected to support</w:t>
      </w:r>
      <w:r w:rsidR="006A45FE" w:rsidRPr="00A950B0">
        <w:rPr>
          <w:rFonts w:asciiTheme="majorHAnsi" w:eastAsia="Aptos Light" w:hAnsiTheme="majorHAnsi" w:cs="Aptos Light"/>
          <w:sz w:val="24"/>
          <w:lang w:eastAsia="en-GB"/>
        </w:rPr>
        <w:t xml:space="preserve"> the process of</w:t>
      </w:r>
      <w:r w:rsidR="00465D8D" w:rsidRPr="00A950B0">
        <w:rPr>
          <w:rFonts w:asciiTheme="majorHAnsi" w:eastAsia="Aptos Light" w:hAnsiTheme="majorHAnsi" w:cs="Aptos Light"/>
          <w:sz w:val="24"/>
          <w:lang w:eastAsia="en-GB"/>
        </w:rPr>
        <w:t>:</w:t>
      </w:r>
    </w:p>
    <w:p w14:paraId="3F5492CE" w14:textId="1AAA6931" w:rsidR="00465D8D" w:rsidRPr="00A950B0" w:rsidRDefault="00635887" w:rsidP="00465D8D">
      <w:pPr>
        <w:pStyle w:val="ListParagraph"/>
        <w:numPr>
          <w:ilvl w:val="0"/>
          <w:numId w:val="22"/>
        </w:num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conducting</w:t>
      </w:r>
      <w:r w:rsidR="00465D8D" w:rsidRPr="00A950B0">
        <w:rPr>
          <w:rFonts w:asciiTheme="majorHAnsi" w:eastAsia="Aptos Light" w:hAnsiTheme="majorHAnsi" w:cs="Aptos Light"/>
          <w:sz w:val="24"/>
          <w:lang w:eastAsia="en-GB"/>
        </w:rPr>
        <w:t xml:space="preserve"> the baseline study</w:t>
      </w:r>
    </w:p>
    <w:p w14:paraId="138D1C00" w14:textId="2676FE7E" w:rsidR="00465D8D" w:rsidRPr="00A950B0" w:rsidRDefault="00465D8D" w:rsidP="00465D8D">
      <w:pPr>
        <w:pStyle w:val="ListParagraph"/>
        <w:numPr>
          <w:ilvl w:val="0"/>
          <w:numId w:val="22"/>
        </w:num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 xml:space="preserve">identification of monitoring indicators in </w:t>
      </w:r>
      <w:r w:rsidR="00D57337">
        <w:rPr>
          <w:rFonts w:asciiTheme="majorHAnsi" w:eastAsia="Aptos Light" w:hAnsiTheme="majorHAnsi" w:cs="Aptos Light"/>
          <w:sz w:val="24"/>
          <w:lang w:eastAsia="en-GB"/>
        </w:rPr>
        <w:t xml:space="preserve">B&amp;H/ </w:t>
      </w:r>
      <w:r w:rsidR="0047510C">
        <w:rPr>
          <w:rFonts w:asciiTheme="majorHAnsi" w:eastAsia="Aptos Light" w:hAnsiTheme="majorHAnsi" w:cs="Aptos Light"/>
          <w:sz w:val="24"/>
          <w:lang w:eastAsia="en-GB"/>
        </w:rPr>
        <w:t>FBiH</w:t>
      </w:r>
      <w:r w:rsidRPr="00A950B0">
        <w:rPr>
          <w:rFonts w:asciiTheme="majorHAnsi" w:eastAsia="Aptos Light" w:hAnsiTheme="majorHAnsi" w:cs="Aptos Light"/>
          <w:sz w:val="24"/>
          <w:lang w:eastAsia="en-GB"/>
        </w:rPr>
        <w:t>, and</w:t>
      </w:r>
    </w:p>
    <w:p w14:paraId="0E06AAE1" w14:textId="77777777" w:rsidR="00D469AD" w:rsidRPr="00D469AD" w:rsidRDefault="006A45FE" w:rsidP="00E51AB3">
      <w:pPr>
        <w:pStyle w:val="ListParagraph"/>
        <w:numPr>
          <w:ilvl w:val="0"/>
          <w:numId w:val="22"/>
        </w:numPr>
        <w:rPr>
          <w:rFonts w:asciiTheme="majorHAnsi" w:eastAsia="Aptos Light" w:hAnsiTheme="majorHAnsi" w:cs="Aptos Light"/>
          <w:b/>
          <w:bCs/>
          <w:sz w:val="24"/>
          <w:lang w:eastAsia="en-GB"/>
        </w:rPr>
      </w:pPr>
      <w:r w:rsidRPr="00A950B0">
        <w:rPr>
          <w:rFonts w:asciiTheme="majorHAnsi" w:eastAsia="Aptos Light" w:hAnsiTheme="majorHAnsi" w:cs="Aptos Light"/>
          <w:sz w:val="24"/>
          <w:lang w:eastAsia="en-GB"/>
        </w:rPr>
        <w:t xml:space="preserve">development of guidelines for the local collection, analysis and reporting of data for </w:t>
      </w:r>
      <w:r w:rsidRPr="00A950B0">
        <w:rPr>
          <w:rStyle w:val="Strong"/>
          <w:rFonts w:asciiTheme="majorHAnsi" w:hAnsiTheme="majorHAnsi" w:cs="Arial"/>
          <w:b w:val="0"/>
          <w:bCs w:val="0"/>
          <w:sz w:val="24"/>
        </w:rPr>
        <w:t>the LORAI monitoring and evaluation framework (LORAI dashboard</w:t>
      </w:r>
      <w:r w:rsidR="00CA40EB" w:rsidRPr="00A950B0">
        <w:rPr>
          <w:rStyle w:val="Strong"/>
          <w:rFonts w:asciiTheme="majorHAnsi" w:hAnsiTheme="majorHAnsi" w:cs="Arial"/>
          <w:b w:val="0"/>
          <w:bCs w:val="0"/>
          <w:sz w:val="24"/>
        </w:rPr>
        <w:t>)</w:t>
      </w:r>
      <w:r w:rsidR="00D469AD" w:rsidRPr="00D469AD">
        <w:t xml:space="preserve"> </w:t>
      </w:r>
    </w:p>
    <w:p w14:paraId="090B0073" w14:textId="322A8071" w:rsidR="00465D8D" w:rsidRPr="00490415" w:rsidRDefault="00D469AD" w:rsidP="00E51AB3">
      <w:pPr>
        <w:pStyle w:val="ListParagraph"/>
        <w:numPr>
          <w:ilvl w:val="0"/>
          <w:numId w:val="22"/>
        </w:numPr>
        <w:rPr>
          <w:rStyle w:val="Strong"/>
          <w:rFonts w:asciiTheme="majorHAnsi" w:eastAsia="Aptos Light" w:hAnsiTheme="majorHAnsi" w:cs="Aptos Light"/>
          <w:sz w:val="24"/>
          <w:lang w:eastAsia="en-GB"/>
        </w:rPr>
      </w:pPr>
      <w:r>
        <w:t xml:space="preserve">All of the above activities will be carried out in close cooperation with an expert from the Association of Municipalities and Cities of </w:t>
      </w:r>
      <w:r w:rsidR="0047510C">
        <w:t>Republic of Srpska</w:t>
      </w:r>
      <w:r>
        <w:t xml:space="preserve">, with the aim of preparing a joint report and ensuring effective coordination and oversight by the Association of Municipalities and Cities of the </w:t>
      </w:r>
      <w:r w:rsidR="0047510C">
        <w:t>Federation of Bosnia and Herzegovina</w:t>
      </w:r>
      <w:r>
        <w:t>.</w:t>
      </w:r>
    </w:p>
    <w:p w14:paraId="787E6A0A" w14:textId="77777777" w:rsidR="00137187" w:rsidRPr="00A950B0" w:rsidRDefault="00137187" w:rsidP="00EC06EA">
      <w:pPr>
        <w:rPr>
          <w:rFonts w:asciiTheme="majorHAnsi" w:eastAsia="Aptos Light" w:hAnsiTheme="majorHAnsi" w:cs="Aptos Light"/>
          <w:sz w:val="24"/>
          <w:lang w:eastAsia="en-GB"/>
        </w:rPr>
      </w:pPr>
    </w:p>
    <w:p w14:paraId="04C7D364" w14:textId="77777777" w:rsidR="006628C0" w:rsidRDefault="006628C0" w:rsidP="00C0729F">
      <w:pPr>
        <w:rPr>
          <w:rFonts w:asciiTheme="majorHAnsi" w:eastAsia="Aptos Light" w:hAnsiTheme="majorHAnsi" w:cs="Aptos Light"/>
          <w:b/>
          <w:bCs/>
          <w:sz w:val="24"/>
          <w:lang w:eastAsia="en-GB"/>
        </w:rPr>
      </w:pPr>
    </w:p>
    <w:p w14:paraId="02A96978" w14:textId="72ABB14C" w:rsidR="00E5673E" w:rsidRPr="00A768B5" w:rsidRDefault="00A768B5" w:rsidP="005F7E40">
      <w:pPr>
        <w:rPr>
          <w:rFonts w:asciiTheme="majorHAnsi" w:eastAsia="Aptos Light" w:hAnsiTheme="majorHAnsi" w:cs="Aptos Light"/>
          <w:b/>
          <w:bCs/>
          <w:sz w:val="24"/>
          <w:lang w:eastAsia="en-GB"/>
        </w:rPr>
      </w:pPr>
      <w:r>
        <w:rPr>
          <w:rFonts w:asciiTheme="majorHAnsi" w:eastAsia="Aptos Light" w:hAnsiTheme="majorHAnsi" w:cs="Aptos Light"/>
          <w:sz w:val="24"/>
          <w:lang w:eastAsia="en-GB"/>
        </w:rPr>
        <w:t xml:space="preserve">Detailed description of tasks </w:t>
      </w:r>
    </w:p>
    <w:p w14:paraId="3205BB06" w14:textId="77777777" w:rsidR="00A768B5" w:rsidRPr="00A950B0" w:rsidRDefault="00A768B5" w:rsidP="005F7E40">
      <w:pPr>
        <w:rPr>
          <w:rFonts w:asciiTheme="majorHAnsi" w:eastAsia="Aptos Light" w:hAnsiTheme="majorHAnsi" w:cs="Aptos Light"/>
          <w:sz w:val="24"/>
          <w:lang w:eastAsia="en-GB"/>
        </w:rPr>
      </w:pPr>
    </w:p>
    <w:p w14:paraId="0444CCF8" w14:textId="77777777" w:rsidR="00296B81" w:rsidRDefault="006A45FE" w:rsidP="006A45FE">
      <w:pPr>
        <w:pStyle w:val="ListParagraph"/>
        <w:numPr>
          <w:ilvl w:val="0"/>
          <w:numId w:val="21"/>
        </w:numPr>
        <w:rPr>
          <w:rFonts w:asciiTheme="majorHAnsi" w:hAnsiTheme="majorHAnsi" w:cs="Cambria"/>
          <w:sz w:val="24"/>
          <w:lang w:eastAsia="mk-MK"/>
        </w:rPr>
      </w:pPr>
      <w:r w:rsidRPr="00A950B0">
        <w:rPr>
          <w:rFonts w:asciiTheme="majorHAnsi" w:hAnsiTheme="majorHAnsi" w:cs="Cambria"/>
          <w:sz w:val="24"/>
          <w:lang w:eastAsia="mk-MK"/>
        </w:rPr>
        <w:t>Contribution to</w:t>
      </w:r>
      <w:r w:rsidR="005F7C73" w:rsidRPr="00A950B0">
        <w:rPr>
          <w:rFonts w:asciiTheme="majorHAnsi" w:hAnsiTheme="majorHAnsi" w:cs="Cambria"/>
          <w:sz w:val="24"/>
          <w:lang w:eastAsia="mk-MK"/>
        </w:rPr>
        <w:t xml:space="preserve"> the </w:t>
      </w:r>
      <w:r w:rsidR="00F8563A" w:rsidRPr="00A950B0">
        <w:rPr>
          <w:rFonts w:asciiTheme="majorHAnsi" w:hAnsiTheme="majorHAnsi" w:cs="Cambria"/>
          <w:sz w:val="24"/>
          <w:lang w:eastAsia="mk-MK"/>
        </w:rPr>
        <w:t>baseline study</w:t>
      </w:r>
      <w:r w:rsidR="006628C0" w:rsidRPr="00A950B0">
        <w:rPr>
          <w:rFonts w:asciiTheme="majorHAnsi" w:hAnsiTheme="majorHAnsi" w:cs="Cambria"/>
          <w:sz w:val="24"/>
          <w:lang w:eastAsia="mk-MK"/>
        </w:rPr>
        <w:t xml:space="preserve"> </w:t>
      </w:r>
    </w:p>
    <w:p w14:paraId="4563D490" w14:textId="77777777" w:rsidR="006A45FE" w:rsidRPr="00A950B0" w:rsidRDefault="006A45FE" w:rsidP="006A45FE">
      <w:pPr>
        <w:rPr>
          <w:rFonts w:asciiTheme="majorHAnsi" w:hAnsiTheme="majorHAnsi" w:cs="Cambria"/>
          <w:sz w:val="24"/>
          <w:lang w:eastAsia="mk-MK"/>
        </w:rPr>
      </w:pPr>
    </w:p>
    <w:p w14:paraId="2ABCE095" w14:textId="6CEC8902" w:rsidR="006A45FE" w:rsidRPr="00A950B0" w:rsidRDefault="006A45FE" w:rsidP="006A45FE">
      <w:pPr>
        <w:rPr>
          <w:rFonts w:asciiTheme="majorHAnsi" w:hAnsiTheme="majorHAnsi" w:cs="Cambria"/>
          <w:sz w:val="24"/>
          <w:lang w:eastAsia="mk-MK"/>
        </w:rPr>
      </w:pPr>
      <w:r w:rsidRPr="00A950B0">
        <w:rPr>
          <w:rFonts w:asciiTheme="majorHAnsi" w:hAnsiTheme="majorHAnsi" w:cs="Cambria"/>
          <w:sz w:val="24"/>
          <w:lang w:eastAsia="mk-MK"/>
        </w:rPr>
        <w:t>The Local Expert is expected to:</w:t>
      </w:r>
    </w:p>
    <w:p w14:paraId="5F69B27C" w14:textId="77777777" w:rsidR="005F7C73" w:rsidRPr="00A950B0" w:rsidRDefault="005F7C73" w:rsidP="005F7C73">
      <w:pPr>
        <w:rPr>
          <w:rFonts w:cs="Cambria"/>
          <w:color w:val="000000"/>
          <w:sz w:val="24"/>
          <w:lang w:eastAsia="mk-MK"/>
        </w:rPr>
      </w:pPr>
    </w:p>
    <w:p w14:paraId="74F11DC1" w14:textId="30AAF5B6" w:rsidR="005F7C73" w:rsidRPr="00A950B0" w:rsidRDefault="005F7C73" w:rsidP="005F7C73">
      <w:pPr>
        <w:pStyle w:val="ListParagraph"/>
        <w:numPr>
          <w:ilvl w:val="0"/>
          <w:numId w:val="13"/>
        </w:numPr>
        <w:rPr>
          <w:rFonts w:asciiTheme="majorHAnsi" w:hAnsiTheme="majorHAnsi" w:cs="Cambria"/>
          <w:sz w:val="24"/>
          <w:lang w:eastAsia="mk-MK"/>
        </w:rPr>
      </w:pPr>
      <w:r w:rsidRPr="00A950B0">
        <w:rPr>
          <w:rFonts w:asciiTheme="majorHAnsi" w:hAnsiTheme="majorHAnsi" w:cs="Cambria"/>
          <w:sz w:val="24"/>
          <w:lang w:eastAsia="mk-MK"/>
        </w:rPr>
        <w:t xml:space="preserve">review </w:t>
      </w:r>
      <w:r w:rsidR="00D57337">
        <w:rPr>
          <w:rFonts w:asciiTheme="majorHAnsi" w:hAnsiTheme="majorHAnsi" w:cs="Cambria"/>
          <w:sz w:val="24"/>
          <w:lang w:eastAsia="mk-MK"/>
        </w:rPr>
        <w:t>Bosnia and Herzegovina</w:t>
      </w:r>
      <w:r w:rsidR="004E1539" w:rsidRPr="00A950B0">
        <w:rPr>
          <w:rFonts w:asciiTheme="majorHAnsi" w:hAnsiTheme="majorHAnsi" w:cs="Cambria"/>
          <w:sz w:val="24"/>
          <w:lang w:eastAsia="mk-MK"/>
        </w:rPr>
        <w:t xml:space="preserve"> </w:t>
      </w:r>
      <w:r w:rsidRPr="00A950B0">
        <w:rPr>
          <w:rFonts w:asciiTheme="majorHAnsi" w:hAnsiTheme="majorHAnsi" w:cs="Cambria"/>
          <w:sz w:val="24"/>
          <w:lang w:eastAsia="mk-MK"/>
        </w:rPr>
        <w:t>Reform Agenda documents and relevant policy and monitoring frameworks;</w:t>
      </w:r>
    </w:p>
    <w:p w14:paraId="0D2A0DE7" w14:textId="77777777" w:rsidR="005F7C73" w:rsidRPr="00577E85" w:rsidRDefault="005F7C73" w:rsidP="005F7C73">
      <w:pPr>
        <w:pStyle w:val="ListParagraph"/>
        <w:numPr>
          <w:ilvl w:val="0"/>
          <w:numId w:val="13"/>
        </w:numPr>
        <w:rPr>
          <w:rFonts w:asciiTheme="majorHAnsi" w:hAnsiTheme="majorHAnsi" w:cs="Cambria"/>
          <w:sz w:val="24"/>
          <w:lang w:eastAsia="mk-MK"/>
        </w:rPr>
      </w:pPr>
      <w:r w:rsidRPr="00577E85">
        <w:rPr>
          <w:rFonts w:asciiTheme="majorHAnsi" w:hAnsiTheme="majorHAnsi" w:cs="Cambria"/>
          <w:sz w:val="24"/>
          <w:lang w:eastAsia="mk-MK"/>
        </w:rPr>
        <w:lastRenderedPageBreak/>
        <w:t>assess the current level of involvement of local authorities in Reform Agenda implementation;</w:t>
      </w:r>
    </w:p>
    <w:p w14:paraId="2164005B" w14:textId="4E14DF2F" w:rsidR="005F7C73" w:rsidRPr="00577E85" w:rsidRDefault="005F7C73" w:rsidP="005F7C73">
      <w:pPr>
        <w:pStyle w:val="ListParagraph"/>
        <w:numPr>
          <w:ilvl w:val="0"/>
          <w:numId w:val="13"/>
        </w:numPr>
        <w:rPr>
          <w:rFonts w:asciiTheme="majorHAnsi" w:hAnsiTheme="majorHAnsi" w:cs="Cambria"/>
          <w:sz w:val="24"/>
          <w:lang w:eastAsia="mk-MK"/>
        </w:rPr>
      </w:pPr>
      <w:r w:rsidRPr="00577E85">
        <w:rPr>
          <w:rFonts w:asciiTheme="majorHAnsi" w:hAnsiTheme="majorHAnsi" w:cs="Cambria"/>
          <w:sz w:val="24"/>
          <w:lang w:eastAsia="mk-MK"/>
        </w:rPr>
        <w:t>collect information on local authorities’ consultation, participation</w:t>
      </w:r>
      <w:r w:rsidR="00777CC0" w:rsidRPr="00577E85">
        <w:rPr>
          <w:rFonts w:asciiTheme="majorHAnsi" w:hAnsiTheme="majorHAnsi" w:cs="Cambria"/>
          <w:sz w:val="24"/>
          <w:lang w:eastAsia="mk-MK"/>
        </w:rPr>
        <w:t xml:space="preserve"> </w:t>
      </w:r>
      <w:r w:rsidRPr="00577E85">
        <w:rPr>
          <w:rFonts w:asciiTheme="majorHAnsi" w:hAnsiTheme="majorHAnsi" w:cs="Cambria"/>
          <w:sz w:val="24"/>
          <w:lang w:eastAsia="mk-MK"/>
        </w:rPr>
        <w:t>and role in Reform Agenda processes;</w:t>
      </w:r>
    </w:p>
    <w:p w14:paraId="76434A25" w14:textId="77777777" w:rsidR="00AA4223" w:rsidRPr="00577E85" w:rsidRDefault="00AA4223" w:rsidP="00AA4223">
      <w:pPr>
        <w:pStyle w:val="ListParagraph"/>
        <w:numPr>
          <w:ilvl w:val="0"/>
          <w:numId w:val="13"/>
        </w:numPr>
        <w:rPr>
          <w:rFonts w:asciiTheme="majorHAnsi" w:hAnsiTheme="majorHAnsi" w:cs="Cambria"/>
          <w:sz w:val="24"/>
          <w:lang w:eastAsia="mk-MK"/>
        </w:rPr>
      </w:pPr>
      <w:r w:rsidRPr="00577E85">
        <w:rPr>
          <w:rFonts w:asciiTheme="majorHAnsi" w:hAnsiTheme="majorHAnsi" w:cs="Cambria"/>
          <w:sz w:val="24"/>
          <w:lang w:eastAsia="mk-MK"/>
        </w:rPr>
        <w:t>identify key thematic areas of the Reform Agendas with significant local impact;</w:t>
      </w:r>
    </w:p>
    <w:p w14:paraId="368FA062" w14:textId="5BE427A8" w:rsidR="00277A37" w:rsidRPr="00577E85" w:rsidRDefault="00E51AB3" w:rsidP="00277A37">
      <w:pPr>
        <w:numPr>
          <w:ilvl w:val="0"/>
          <w:numId w:val="13"/>
        </w:numPr>
        <w:shd w:val="clear" w:color="auto" w:fill="FFFFFF"/>
        <w:spacing w:before="100" w:beforeAutospacing="1" w:after="100" w:afterAutospacing="1"/>
        <w:jc w:val="left"/>
        <w:rPr>
          <w:rFonts w:asciiTheme="majorHAnsi" w:hAnsiTheme="majorHAnsi" w:cs="Cambria"/>
          <w:sz w:val="24"/>
          <w:lang w:eastAsia="mk-MK"/>
        </w:rPr>
      </w:pPr>
      <w:r w:rsidRPr="00577E85">
        <w:rPr>
          <w:rFonts w:asciiTheme="majorHAnsi" w:hAnsiTheme="majorHAnsi" w:cs="Cambria"/>
          <w:sz w:val="24"/>
          <w:lang w:eastAsia="mk-MK"/>
        </w:rPr>
        <w:t>g</w:t>
      </w:r>
      <w:r w:rsidR="00277A37" w:rsidRPr="00577E85">
        <w:rPr>
          <w:rFonts w:asciiTheme="majorHAnsi" w:hAnsiTheme="majorHAnsi" w:cs="Cambria"/>
          <w:sz w:val="24"/>
          <w:lang w:eastAsia="mk-MK"/>
        </w:rPr>
        <w:t xml:space="preserve">ather information regarding the involvement of local authorities in the Western Balkans Investment Framework (WBIF) and explore their potential </w:t>
      </w:r>
      <w:r w:rsidR="00E21199" w:rsidRPr="00577E85">
        <w:rPr>
          <w:rFonts w:asciiTheme="majorHAnsi" w:hAnsiTheme="majorHAnsi" w:cs="Cambria"/>
          <w:sz w:val="24"/>
          <w:lang w:eastAsia="mk-MK"/>
        </w:rPr>
        <w:t>role in the WBIF process/consultations</w:t>
      </w:r>
      <w:r w:rsidR="00277A37" w:rsidRPr="00577E85">
        <w:rPr>
          <w:rFonts w:asciiTheme="majorHAnsi" w:hAnsiTheme="majorHAnsi" w:cs="Cambria"/>
          <w:sz w:val="24"/>
          <w:lang w:eastAsia="mk-MK"/>
        </w:rPr>
        <w:t>;</w:t>
      </w:r>
    </w:p>
    <w:p w14:paraId="34AF3F42" w14:textId="31F3B04A" w:rsidR="00777CC0" w:rsidRPr="00577E85" w:rsidRDefault="00777CC0" w:rsidP="00777CC0">
      <w:pPr>
        <w:pStyle w:val="ListParagraph"/>
        <w:numPr>
          <w:ilvl w:val="0"/>
          <w:numId w:val="13"/>
        </w:numPr>
        <w:rPr>
          <w:rFonts w:asciiTheme="majorHAnsi" w:hAnsiTheme="majorHAnsi" w:cs="Cambria"/>
          <w:sz w:val="24"/>
          <w:lang w:eastAsia="mk-MK"/>
        </w:rPr>
      </w:pPr>
      <w:r w:rsidRPr="00577E85">
        <w:rPr>
          <w:rFonts w:asciiTheme="majorHAnsi" w:hAnsiTheme="majorHAnsi" w:cs="Cambria"/>
          <w:sz w:val="24"/>
          <w:lang w:eastAsia="mk-MK"/>
        </w:rPr>
        <w:t>map relevant stakeholders involved in Reform Agenda implementation and monitoring.</w:t>
      </w:r>
    </w:p>
    <w:p w14:paraId="69F2FBCB" w14:textId="152D95EE" w:rsidR="00064AEF" w:rsidRPr="00577E85" w:rsidRDefault="0097186A" w:rsidP="00777CC0">
      <w:pPr>
        <w:pStyle w:val="ListParagraph"/>
        <w:numPr>
          <w:ilvl w:val="0"/>
          <w:numId w:val="13"/>
        </w:numPr>
        <w:rPr>
          <w:rFonts w:asciiTheme="majorHAnsi" w:hAnsiTheme="majorHAnsi" w:cs="Cambria"/>
          <w:sz w:val="24"/>
          <w:lang w:eastAsia="mk-MK"/>
        </w:rPr>
      </w:pPr>
      <w:r w:rsidRPr="00577E85">
        <w:rPr>
          <w:rFonts w:asciiTheme="majorHAnsi" w:hAnsiTheme="majorHAnsi" w:cs="Cambria"/>
          <w:sz w:val="24"/>
          <w:lang w:eastAsia="mk-MK"/>
        </w:rPr>
        <w:t>Produce a joint report in close cooperation with the e</w:t>
      </w:r>
      <w:r w:rsidR="00064AEF" w:rsidRPr="00577E85">
        <w:rPr>
          <w:rFonts w:asciiTheme="majorHAnsi" w:hAnsiTheme="majorHAnsi" w:cs="Cambria"/>
          <w:sz w:val="24"/>
          <w:lang w:eastAsia="mk-MK"/>
        </w:rPr>
        <w:t xml:space="preserve">xpert from </w:t>
      </w:r>
      <w:r w:rsidR="0047510C">
        <w:rPr>
          <w:rFonts w:asciiTheme="majorHAnsi" w:hAnsiTheme="majorHAnsi" w:cs="Cambria"/>
          <w:sz w:val="24"/>
          <w:lang w:eastAsia="mk-MK"/>
        </w:rPr>
        <w:t>RS</w:t>
      </w:r>
      <w:r w:rsidR="00064AEF" w:rsidRPr="00577E85">
        <w:rPr>
          <w:rFonts w:asciiTheme="majorHAnsi" w:hAnsiTheme="majorHAnsi" w:cs="Cambria"/>
          <w:sz w:val="24"/>
          <w:lang w:eastAsia="mk-MK"/>
        </w:rPr>
        <w:t xml:space="preserve"> and coordination with </w:t>
      </w:r>
      <w:r w:rsidR="0047510C">
        <w:rPr>
          <w:rFonts w:asciiTheme="majorHAnsi" w:hAnsiTheme="majorHAnsi" w:cs="Cambria"/>
          <w:sz w:val="24"/>
          <w:lang w:eastAsia="mk-MK"/>
        </w:rPr>
        <w:t>FBiH</w:t>
      </w:r>
      <w:r w:rsidR="00064AEF" w:rsidRPr="00577E85">
        <w:rPr>
          <w:rFonts w:asciiTheme="majorHAnsi" w:hAnsiTheme="majorHAnsi" w:cs="Cambria"/>
          <w:sz w:val="24"/>
          <w:lang w:eastAsia="mk-MK"/>
        </w:rPr>
        <w:t xml:space="preserve"> Association </w:t>
      </w:r>
    </w:p>
    <w:p w14:paraId="30C587C8" w14:textId="77777777" w:rsidR="006628C0" w:rsidRPr="00A950B0" w:rsidRDefault="006628C0" w:rsidP="006628C0">
      <w:pPr>
        <w:rPr>
          <w:rFonts w:asciiTheme="majorHAnsi" w:hAnsiTheme="majorHAnsi" w:cs="Cambria"/>
          <w:sz w:val="24"/>
          <w:lang w:eastAsia="mk-MK"/>
        </w:rPr>
      </w:pPr>
    </w:p>
    <w:p w14:paraId="50988D9E" w14:textId="77777777" w:rsidR="00A22AAC" w:rsidRPr="00D57337" w:rsidRDefault="00A22AAC" w:rsidP="006628C0">
      <w:pPr>
        <w:rPr>
          <w:rFonts w:asciiTheme="majorHAnsi" w:hAnsiTheme="majorHAnsi" w:cs="Cambria"/>
          <w:b/>
          <w:bCs/>
          <w:sz w:val="24"/>
          <w:lang w:val="de-DE" w:eastAsia="mk-MK"/>
        </w:rPr>
      </w:pPr>
    </w:p>
    <w:p w14:paraId="01A1BBD3" w14:textId="77777777" w:rsidR="00777CC0" w:rsidRPr="00A950B0" w:rsidRDefault="00777CC0" w:rsidP="00777CC0">
      <w:pPr>
        <w:pStyle w:val="ListParagraph"/>
        <w:rPr>
          <w:rFonts w:asciiTheme="majorHAnsi" w:hAnsiTheme="majorHAnsi" w:cs="Cambria"/>
          <w:sz w:val="24"/>
          <w:lang w:eastAsia="mk-MK"/>
        </w:rPr>
      </w:pPr>
    </w:p>
    <w:p w14:paraId="3949E342" w14:textId="77777777" w:rsidR="00296B81" w:rsidRPr="00296B81" w:rsidRDefault="006A45FE" w:rsidP="00E51AB3">
      <w:pPr>
        <w:pStyle w:val="ListParagraph"/>
        <w:numPr>
          <w:ilvl w:val="0"/>
          <w:numId w:val="21"/>
        </w:num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Contribution to</w:t>
      </w:r>
      <w:r w:rsidR="00D15F85" w:rsidRPr="00A950B0">
        <w:rPr>
          <w:rFonts w:asciiTheme="majorHAnsi" w:eastAsia="Aptos Light" w:hAnsiTheme="majorHAnsi" w:cs="Aptos Light"/>
          <w:sz w:val="24"/>
          <w:lang w:eastAsia="en-GB"/>
        </w:rPr>
        <w:t xml:space="preserve"> the</w:t>
      </w:r>
      <w:r w:rsidR="0070334C" w:rsidRPr="00A950B0">
        <w:rPr>
          <w:rFonts w:asciiTheme="majorHAnsi" w:eastAsia="Aptos Light" w:hAnsiTheme="majorHAnsi" w:cs="Aptos Light"/>
          <w:sz w:val="24"/>
          <w:lang w:eastAsia="en-GB"/>
        </w:rPr>
        <w:t xml:space="preserve"> identification of the</w:t>
      </w:r>
      <w:r w:rsidR="00F8563A" w:rsidRPr="00A950B0">
        <w:rPr>
          <w:rFonts w:asciiTheme="majorHAnsi" w:eastAsia="Aptos Light" w:hAnsiTheme="majorHAnsi" w:cs="Aptos Light"/>
          <w:sz w:val="24"/>
          <w:lang w:eastAsia="en-GB"/>
        </w:rPr>
        <w:t xml:space="preserve"> </w:t>
      </w:r>
      <w:r w:rsidR="00C83648" w:rsidRPr="00A950B0">
        <w:rPr>
          <w:rFonts w:asciiTheme="majorHAnsi" w:eastAsia="Aptos Light" w:hAnsiTheme="majorHAnsi" w:cs="Aptos Light"/>
          <w:sz w:val="24"/>
          <w:lang w:eastAsia="en-GB"/>
        </w:rPr>
        <w:t xml:space="preserve">monitoring </w:t>
      </w:r>
      <w:r w:rsidR="00F8563A" w:rsidRPr="00A950B0">
        <w:rPr>
          <w:rFonts w:asciiTheme="majorHAnsi" w:eastAsia="Aptos Light" w:hAnsiTheme="majorHAnsi" w:cs="Aptos Light"/>
          <w:sz w:val="24"/>
          <w:lang w:eastAsia="en-GB"/>
        </w:rPr>
        <w:t>indicators</w:t>
      </w:r>
      <w:r w:rsidR="00F8563A" w:rsidRPr="00A950B0">
        <w:rPr>
          <w:rFonts w:asciiTheme="majorHAnsi" w:eastAsia="Aptos Light" w:hAnsiTheme="majorHAnsi" w:cs="Aptos Light"/>
          <w:b/>
          <w:bCs/>
          <w:sz w:val="24"/>
          <w:lang w:eastAsia="en-GB"/>
        </w:rPr>
        <w:t xml:space="preserve"> </w:t>
      </w:r>
    </w:p>
    <w:p w14:paraId="047FB2C8" w14:textId="77777777" w:rsidR="006A45FE" w:rsidRPr="00A950B0" w:rsidRDefault="006A45FE" w:rsidP="00E5673E">
      <w:pPr>
        <w:rPr>
          <w:rFonts w:cs="Cambria"/>
          <w:color w:val="000000"/>
          <w:sz w:val="24"/>
          <w:lang w:eastAsia="mk-MK"/>
        </w:rPr>
      </w:pPr>
    </w:p>
    <w:p w14:paraId="2AA0DB55" w14:textId="2AE5809E" w:rsidR="00E5673E" w:rsidRPr="00A950B0" w:rsidRDefault="001C5FB9" w:rsidP="00E5673E">
      <w:pPr>
        <w:rPr>
          <w:rFonts w:cs="Cambria"/>
          <w:color w:val="000000"/>
          <w:sz w:val="24"/>
          <w:lang w:eastAsia="mk-MK"/>
        </w:rPr>
      </w:pPr>
      <w:r w:rsidRPr="00A950B0">
        <w:rPr>
          <w:rFonts w:cs="Cambria"/>
          <w:color w:val="000000"/>
          <w:sz w:val="24"/>
          <w:lang w:eastAsia="mk-MK"/>
        </w:rPr>
        <w:t>The Local Expert is expected to:</w:t>
      </w:r>
    </w:p>
    <w:p w14:paraId="359A4508" w14:textId="77777777" w:rsidR="001C5FB9" w:rsidRPr="00A950B0" w:rsidRDefault="001C5FB9" w:rsidP="00E5673E">
      <w:pPr>
        <w:rPr>
          <w:rFonts w:cs="Cambria"/>
          <w:color w:val="000000"/>
          <w:sz w:val="24"/>
          <w:lang w:eastAsia="mk-MK"/>
        </w:rPr>
      </w:pPr>
    </w:p>
    <w:p w14:paraId="5B0C9F8C" w14:textId="1D6375A0" w:rsidR="00E5673E" w:rsidRPr="00A950B0" w:rsidRDefault="00E5673E" w:rsidP="00E5673E">
      <w:pPr>
        <w:pStyle w:val="ListParagraph"/>
        <w:numPr>
          <w:ilvl w:val="0"/>
          <w:numId w:val="15"/>
        </w:numPr>
        <w:rPr>
          <w:rFonts w:cs="Cambria"/>
          <w:color w:val="000000"/>
          <w:sz w:val="24"/>
          <w:lang w:eastAsia="mk-MK"/>
        </w:rPr>
      </w:pPr>
      <w:r w:rsidRPr="00A950B0">
        <w:rPr>
          <w:rFonts w:cs="Cambria"/>
          <w:color w:val="000000"/>
          <w:sz w:val="24"/>
          <w:lang w:eastAsia="mk-MK"/>
        </w:rPr>
        <w:t>identify existing indicators and assess their relevance from the local government p</w:t>
      </w:r>
      <w:r w:rsidR="00585E96" w:rsidRPr="00A950B0">
        <w:rPr>
          <w:rFonts w:cs="Cambria"/>
          <w:color w:val="000000"/>
          <w:sz w:val="24"/>
          <w:lang w:eastAsia="mk-MK"/>
        </w:rPr>
        <w:t>oint of view;</w:t>
      </w:r>
    </w:p>
    <w:p w14:paraId="6AA5C62A" w14:textId="74FFDAD6" w:rsidR="00E5673E" w:rsidRPr="00A950B0" w:rsidRDefault="00E5673E" w:rsidP="00F53C65">
      <w:pPr>
        <w:pStyle w:val="ListParagraph"/>
        <w:numPr>
          <w:ilvl w:val="0"/>
          <w:numId w:val="15"/>
        </w:numPr>
        <w:rPr>
          <w:rFonts w:cs="Cambria"/>
          <w:color w:val="000000"/>
          <w:sz w:val="24"/>
          <w:lang w:eastAsia="mk-MK"/>
        </w:rPr>
      </w:pPr>
      <w:r w:rsidRPr="00A950B0">
        <w:rPr>
          <w:rFonts w:cs="Cambria"/>
          <w:color w:val="000000"/>
          <w:sz w:val="24"/>
          <w:lang w:eastAsia="mk-MK"/>
        </w:rPr>
        <w:t xml:space="preserve">assess </w:t>
      </w:r>
      <w:r w:rsidR="00585E96" w:rsidRPr="00A950B0">
        <w:rPr>
          <w:rFonts w:cs="Cambria"/>
          <w:color w:val="000000"/>
          <w:sz w:val="24"/>
          <w:lang w:eastAsia="mk-MK"/>
        </w:rPr>
        <w:t xml:space="preserve">the level of </w:t>
      </w:r>
      <w:r w:rsidRPr="00A950B0">
        <w:rPr>
          <w:rFonts w:cs="Cambria"/>
          <w:color w:val="000000"/>
          <w:sz w:val="24"/>
          <w:lang w:eastAsia="mk-MK"/>
        </w:rPr>
        <w:t>data availability and data collection</w:t>
      </w:r>
      <w:r w:rsidR="00585E96" w:rsidRPr="00A950B0">
        <w:rPr>
          <w:rFonts w:cs="Cambria"/>
          <w:color w:val="000000"/>
          <w:sz w:val="24"/>
          <w:lang w:eastAsia="mk-MK"/>
        </w:rPr>
        <w:t xml:space="preserve"> possibility </w:t>
      </w:r>
      <w:r w:rsidRPr="00A950B0">
        <w:rPr>
          <w:rFonts w:cs="Cambria"/>
          <w:color w:val="000000"/>
          <w:sz w:val="24"/>
          <w:lang w:eastAsia="mk-MK"/>
        </w:rPr>
        <w:t xml:space="preserve">at the </w:t>
      </w:r>
      <w:r w:rsidR="00935304" w:rsidRPr="00A950B0">
        <w:rPr>
          <w:rFonts w:cs="Cambria"/>
          <w:color w:val="000000"/>
          <w:sz w:val="24"/>
          <w:lang w:eastAsia="mk-MK"/>
        </w:rPr>
        <w:t>local</w:t>
      </w:r>
      <w:r w:rsidRPr="00A950B0">
        <w:rPr>
          <w:rFonts w:cs="Cambria"/>
          <w:color w:val="000000"/>
          <w:sz w:val="24"/>
          <w:lang w:eastAsia="mk-MK"/>
        </w:rPr>
        <w:t xml:space="preserve"> level;</w:t>
      </w:r>
    </w:p>
    <w:p w14:paraId="74B020E1" w14:textId="77777777" w:rsidR="00E5673E" w:rsidRDefault="00E5673E" w:rsidP="00E5673E">
      <w:pPr>
        <w:pStyle w:val="ListParagraph"/>
        <w:numPr>
          <w:ilvl w:val="0"/>
          <w:numId w:val="15"/>
        </w:numPr>
        <w:rPr>
          <w:rFonts w:cs="Cambria"/>
          <w:color w:val="000000"/>
          <w:sz w:val="24"/>
          <w:lang w:eastAsia="mk-MK"/>
        </w:rPr>
      </w:pPr>
      <w:r w:rsidRPr="00A950B0">
        <w:rPr>
          <w:rFonts w:cs="Cambria"/>
          <w:color w:val="000000"/>
          <w:sz w:val="24"/>
          <w:lang w:eastAsia="mk-MK"/>
        </w:rPr>
        <w:t>contribute to the identification of a practical set of indicators for inclusion in the LORAI monitoring and evaluation framework.</w:t>
      </w:r>
    </w:p>
    <w:p w14:paraId="79AC840F" w14:textId="77777777" w:rsidR="00C335C5" w:rsidRDefault="00C335C5" w:rsidP="00C335C5">
      <w:pPr>
        <w:pStyle w:val="ListParagraph"/>
        <w:rPr>
          <w:rFonts w:cs="Cambria"/>
          <w:color w:val="000000"/>
          <w:sz w:val="24"/>
          <w:lang w:eastAsia="mk-MK"/>
        </w:rPr>
      </w:pPr>
    </w:p>
    <w:p w14:paraId="11A44571" w14:textId="77777777" w:rsidR="00C335C5" w:rsidRPr="00A950B0" w:rsidRDefault="00C335C5" w:rsidP="00C335C5">
      <w:pPr>
        <w:pStyle w:val="ListParagraph"/>
        <w:rPr>
          <w:rFonts w:cs="Cambria"/>
          <w:color w:val="000000"/>
          <w:sz w:val="24"/>
          <w:lang w:eastAsia="mk-MK"/>
        </w:rPr>
      </w:pPr>
    </w:p>
    <w:p w14:paraId="36567043" w14:textId="77777777" w:rsidR="00296B81" w:rsidRDefault="006A45FE" w:rsidP="004E1539">
      <w:pPr>
        <w:pStyle w:val="ListParagraph"/>
        <w:numPr>
          <w:ilvl w:val="0"/>
          <w:numId w:val="21"/>
        </w:numPr>
        <w:rPr>
          <w:rStyle w:val="Strong"/>
          <w:rFonts w:asciiTheme="majorHAnsi" w:hAnsiTheme="majorHAnsi" w:cs="Arial"/>
          <w:b w:val="0"/>
          <w:bCs w:val="0"/>
          <w:sz w:val="24"/>
        </w:rPr>
      </w:pPr>
      <w:r w:rsidRPr="00A950B0">
        <w:rPr>
          <w:rFonts w:asciiTheme="majorHAnsi" w:eastAsia="Aptos Light" w:hAnsiTheme="majorHAnsi" w:cs="Aptos Light"/>
          <w:sz w:val="24"/>
          <w:lang w:eastAsia="en-GB"/>
        </w:rPr>
        <w:t xml:space="preserve">Contribution to </w:t>
      </w:r>
      <w:r w:rsidR="00C83648" w:rsidRPr="00A950B0">
        <w:rPr>
          <w:rFonts w:asciiTheme="majorHAnsi" w:eastAsia="Aptos Light" w:hAnsiTheme="majorHAnsi" w:cs="Aptos Light"/>
          <w:sz w:val="24"/>
          <w:lang w:eastAsia="en-GB"/>
        </w:rPr>
        <w:t>the d</w:t>
      </w:r>
      <w:r w:rsidR="00F8563A" w:rsidRPr="00A950B0">
        <w:rPr>
          <w:rFonts w:asciiTheme="majorHAnsi" w:eastAsia="Aptos Light" w:hAnsiTheme="majorHAnsi" w:cs="Aptos Light"/>
          <w:sz w:val="24"/>
          <w:lang w:eastAsia="en-GB"/>
        </w:rPr>
        <w:t>evelop</w:t>
      </w:r>
      <w:r w:rsidR="00C83648" w:rsidRPr="00A950B0">
        <w:rPr>
          <w:rFonts w:asciiTheme="majorHAnsi" w:eastAsia="Aptos Light" w:hAnsiTheme="majorHAnsi" w:cs="Aptos Light"/>
          <w:sz w:val="24"/>
          <w:lang w:eastAsia="en-GB"/>
        </w:rPr>
        <w:t>ment of</w:t>
      </w:r>
      <w:r w:rsidR="00F8563A" w:rsidRPr="00A950B0">
        <w:rPr>
          <w:rFonts w:asciiTheme="majorHAnsi" w:eastAsia="Aptos Light" w:hAnsiTheme="majorHAnsi" w:cs="Aptos Light"/>
          <w:sz w:val="24"/>
          <w:lang w:eastAsia="en-GB"/>
        </w:rPr>
        <w:t xml:space="preserve"> guidelines for the </w:t>
      </w:r>
      <w:r w:rsidR="007236A3" w:rsidRPr="00A950B0">
        <w:rPr>
          <w:rFonts w:asciiTheme="majorHAnsi" w:eastAsia="Aptos Light" w:hAnsiTheme="majorHAnsi" w:cs="Aptos Light"/>
          <w:sz w:val="24"/>
          <w:lang w:eastAsia="en-GB"/>
        </w:rPr>
        <w:t xml:space="preserve">local </w:t>
      </w:r>
      <w:r w:rsidR="00F8563A" w:rsidRPr="00A950B0">
        <w:rPr>
          <w:rFonts w:asciiTheme="majorHAnsi" w:eastAsia="Aptos Light" w:hAnsiTheme="majorHAnsi" w:cs="Aptos Light"/>
          <w:sz w:val="24"/>
          <w:lang w:eastAsia="en-GB"/>
        </w:rPr>
        <w:t xml:space="preserve">collection, analysis and reporting of data for </w:t>
      </w:r>
      <w:r w:rsidR="00F8563A" w:rsidRPr="00296B81">
        <w:rPr>
          <w:rStyle w:val="Strong"/>
          <w:rFonts w:asciiTheme="majorHAnsi" w:hAnsiTheme="majorHAnsi" w:cs="Arial"/>
          <w:b w:val="0"/>
          <w:bCs w:val="0"/>
          <w:sz w:val="24"/>
        </w:rPr>
        <w:t>the LORAI monitoring and evaluation framework (LORAI dashboard)</w:t>
      </w:r>
      <w:r w:rsidR="00C526A2" w:rsidRPr="00296B81">
        <w:rPr>
          <w:rStyle w:val="Strong"/>
          <w:rFonts w:asciiTheme="majorHAnsi" w:hAnsiTheme="majorHAnsi" w:cs="Arial"/>
          <w:b w:val="0"/>
          <w:bCs w:val="0"/>
          <w:sz w:val="24"/>
        </w:rPr>
        <w:t xml:space="preserve"> </w:t>
      </w:r>
    </w:p>
    <w:p w14:paraId="719A6CD3" w14:textId="77777777" w:rsidR="004E1539" w:rsidRPr="00A950B0" w:rsidRDefault="004E1539" w:rsidP="00E51AB3">
      <w:pPr>
        <w:pStyle w:val="ListParagraph"/>
        <w:rPr>
          <w:rFonts w:asciiTheme="majorHAnsi" w:hAnsiTheme="majorHAnsi" w:cs="Arial"/>
          <w:sz w:val="24"/>
        </w:rPr>
      </w:pPr>
    </w:p>
    <w:p w14:paraId="7F6973A0" w14:textId="77777777" w:rsidR="00C335C5" w:rsidRDefault="00C335C5" w:rsidP="00C335C5">
      <w:pPr>
        <w:pStyle w:val="ListParagraph"/>
        <w:numPr>
          <w:ilvl w:val="0"/>
          <w:numId w:val="21"/>
        </w:numPr>
        <w:rPr>
          <w:rFonts w:asciiTheme="majorHAnsi" w:hAnsiTheme="majorHAnsi" w:cs="Cambria"/>
          <w:color w:val="000000"/>
          <w:sz w:val="24"/>
          <w:lang w:eastAsia="mk-MK"/>
        </w:rPr>
      </w:pPr>
      <w:r>
        <w:rPr>
          <w:rFonts w:asciiTheme="majorHAnsi" w:hAnsiTheme="majorHAnsi" w:cs="Cambria"/>
          <w:color w:val="000000"/>
          <w:sz w:val="24"/>
          <w:lang w:eastAsia="mk-MK"/>
        </w:rPr>
        <w:t xml:space="preserve">Consultation and coordination </w:t>
      </w:r>
    </w:p>
    <w:p w14:paraId="21629826" w14:textId="77777777" w:rsidR="00C335C5" w:rsidRPr="00C335C5" w:rsidRDefault="00C335C5" w:rsidP="00C335C5">
      <w:pPr>
        <w:pStyle w:val="ListParagraph"/>
        <w:rPr>
          <w:rFonts w:asciiTheme="majorHAnsi" w:hAnsiTheme="majorHAnsi" w:cs="Cambria"/>
          <w:color w:val="000000"/>
          <w:sz w:val="24"/>
          <w:lang w:eastAsia="mk-MK"/>
        </w:rPr>
      </w:pPr>
    </w:p>
    <w:p w14:paraId="3C79A2AD" w14:textId="1CC374D1" w:rsidR="00C335C5" w:rsidRPr="00577E85" w:rsidRDefault="00C335C5" w:rsidP="00C335C5">
      <w:pPr>
        <w:pStyle w:val="ListParagraph"/>
        <w:numPr>
          <w:ilvl w:val="0"/>
          <w:numId w:val="15"/>
        </w:numPr>
        <w:rPr>
          <w:rFonts w:asciiTheme="majorHAnsi" w:hAnsiTheme="majorHAnsi" w:cs="Cambria"/>
          <w:color w:val="000000"/>
          <w:sz w:val="24"/>
          <w:lang w:eastAsia="mk-MK"/>
        </w:rPr>
      </w:pPr>
      <w:r w:rsidRPr="00577E85">
        <w:rPr>
          <w:rFonts w:asciiTheme="majorHAnsi" w:hAnsiTheme="majorHAnsi" w:cs="Cambria"/>
          <w:color w:val="000000"/>
          <w:sz w:val="24"/>
          <w:lang w:eastAsia="mk-MK"/>
        </w:rPr>
        <w:t xml:space="preserve">Coordinate activities with an expert from Association of Municipalities and Cities of </w:t>
      </w:r>
      <w:r w:rsidR="0047510C">
        <w:rPr>
          <w:rFonts w:asciiTheme="majorHAnsi" w:hAnsiTheme="majorHAnsi" w:cs="Cambria"/>
          <w:color w:val="000000"/>
          <w:sz w:val="24"/>
          <w:lang w:eastAsia="mk-MK"/>
        </w:rPr>
        <w:t>Republic of Srpska</w:t>
      </w:r>
    </w:p>
    <w:p w14:paraId="7847FCF4" w14:textId="0ED6B5B3" w:rsidR="00C335C5" w:rsidRPr="00577E85" w:rsidRDefault="00C335C5" w:rsidP="00C335C5">
      <w:pPr>
        <w:pStyle w:val="ListParagraph"/>
        <w:numPr>
          <w:ilvl w:val="0"/>
          <w:numId w:val="15"/>
        </w:numPr>
        <w:rPr>
          <w:rFonts w:asciiTheme="majorHAnsi" w:hAnsiTheme="majorHAnsi" w:cs="Cambria"/>
          <w:color w:val="000000"/>
          <w:sz w:val="24"/>
          <w:lang w:eastAsia="mk-MK"/>
        </w:rPr>
      </w:pPr>
      <w:r w:rsidRPr="00577E85">
        <w:rPr>
          <w:rFonts w:asciiTheme="majorHAnsi" w:hAnsiTheme="majorHAnsi" w:cs="Cambria"/>
          <w:color w:val="000000"/>
          <w:sz w:val="24"/>
          <w:lang w:eastAsia="mk-MK"/>
        </w:rPr>
        <w:t xml:space="preserve">Consult and coordinate activities with Association of municipalities and Cities of </w:t>
      </w:r>
      <w:r w:rsidR="0047510C">
        <w:rPr>
          <w:rFonts w:asciiTheme="majorHAnsi" w:hAnsiTheme="majorHAnsi" w:cs="Cambria"/>
          <w:color w:val="000000"/>
          <w:sz w:val="24"/>
          <w:lang w:eastAsia="mk-MK"/>
        </w:rPr>
        <w:t xml:space="preserve">FBiH </w:t>
      </w:r>
      <w:r w:rsidRPr="00577E85">
        <w:rPr>
          <w:rFonts w:asciiTheme="majorHAnsi" w:hAnsiTheme="majorHAnsi" w:cs="Cambria"/>
          <w:color w:val="000000"/>
          <w:sz w:val="24"/>
          <w:lang w:eastAsia="mk-MK"/>
        </w:rPr>
        <w:t xml:space="preserve"> </w:t>
      </w:r>
    </w:p>
    <w:p w14:paraId="2CDAA451" w14:textId="52033022" w:rsidR="00C335C5" w:rsidRPr="00577E85" w:rsidRDefault="00C335C5" w:rsidP="00C335C5">
      <w:pPr>
        <w:pStyle w:val="ListParagraph"/>
        <w:numPr>
          <w:ilvl w:val="0"/>
          <w:numId w:val="15"/>
        </w:numPr>
        <w:rPr>
          <w:rFonts w:asciiTheme="majorHAnsi" w:hAnsiTheme="majorHAnsi" w:cs="Cambria"/>
          <w:color w:val="000000"/>
          <w:sz w:val="24"/>
          <w:lang w:eastAsia="mk-MK"/>
        </w:rPr>
      </w:pPr>
      <w:r w:rsidRPr="00577E85">
        <w:rPr>
          <w:rFonts w:asciiTheme="majorHAnsi" w:hAnsiTheme="majorHAnsi" w:cs="Cambria"/>
          <w:color w:val="000000"/>
          <w:sz w:val="24"/>
          <w:lang w:eastAsia="mk-MK"/>
        </w:rPr>
        <w:t xml:space="preserve">Participate in one Focus group with local representatives (Cities and Municipalities) </w:t>
      </w:r>
    </w:p>
    <w:p w14:paraId="2A45F5D5" w14:textId="77777777" w:rsidR="00C335C5" w:rsidRPr="00C335C5" w:rsidRDefault="00C335C5" w:rsidP="00C335C5">
      <w:pPr>
        <w:pStyle w:val="ListParagraph"/>
        <w:rPr>
          <w:rFonts w:asciiTheme="majorHAnsi" w:hAnsiTheme="majorHAnsi" w:cs="Cambria"/>
          <w:color w:val="000000"/>
          <w:sz w:val="24"/>
          <w:lang w:eastAsia="mk-MK"/>
        </w:rPr>
      </w:pPr>
    </w:p>
    <w:p w14:paraId="27956B66" w14:textId="77777777" w:rsidR="00C335C5" w:rsidRPr="00C335C5" w:rsidRDefault="00C335C5" w:rsidP="00C335C5">
      <w:pPr>
        <w:pStyle w:val="ListParagraph"/>
        <w:rPr>
          <w:rFonts w:asciiTheme="majorHAnsi" w:hAnsiTheme="majorHAnsi" w:cs="Cambria"/>
          <w:color w:val="000000"/>
          <w:sz w:val="24"/>
          <w:lang w:eastAsia="mk-MK"/>
        </w:rPr>
      </w:pPr>
    </w:p>
    <w:p w14:paraId="7C33CD83" w14:textId="657FCF36" w:rsidR="001C5FB9" w:rsidRPr="00A950B0" w:rsidRDefault="001C5FB9" w:rsidP="00C34DBB">
      <w:pPr>
        <w:rPr>
          <w:rFonts w:asciiTheme="majorHAnsi" w:hAnsiTheme="majorHAnsi" w:cs="Arial"/>
          <w:sz w:val="24"/>
        </w:rPr>
      </w:pPr>
      <w:r w:rsidRPr="00A950B0">
        <w:rPr>
          <w:rFonts w:cs="Cambria"/>
          <w:color w:val="000000"/>
          <w:sz w:val="24"/>
          <w:lang w:eastAsia="mk-MK"/>
        </w:rPr>
        <w:t>The Local Expert is expecte</w:t>
      </w:r>
      <w:r w:rsidR="00E51AB3" w:rsidRPr="00A950B0">
        <w:rPr>
          <w:rFonts w:cs="Cambria"/>
          <w:color w:val="000000"/>
          <w:sz w:val="24"/>
          <w:lang w:eastAsia="mk-MK"/>
        </w:rPr>
        <w:t>d</w:t>
      </w:r>
      <w:r w:rsidRPr="00A950B0">
        <w:rPr>
          <w:rFonts w:cs="Cambria"/>
          <w:color w:val="000000"/>
          <w:sz w:val="24"/>
          <w:lang w:eastAsia="mk-MK"/>
        </w:rPr>
        <w:t xml:space="preserve"> to:</w:t>
      </w:r>
    </w:p>
    <w:p w14:paraId="779860AE" w14:textId="77777777" w:rsidR="004137DD" w:rsidRPr="00A950B0" w:rsidRDefault="004137DD" w:rsidP="00C34DBB">
      <w:pPr>
        <w:rPr>
          <w:rFonts w:cs="Cambria"/>
          <w:color w:val="000000"/>
          <w:sz w:val="24"/>
          <w:lang w:eastAsia="mk-MK"/>
        </w:rPr>
      </w:pPr>
    </w:p>
    <w:p w14:paraId="79FF6DE8" w14:textId="4C76AF63" w:rsidR="004D2995" w:rsidRPr="00A950B0" w:rsidRDefault="004D2995" w:rsidP="004D2995">
      <w:pPr>
        <w:numPr>
          <w:ilvl w:val="0"/>
          <w:numId w:val="18"/>
        </w:numPr>
        <w:rPr>
          <w:rFonts w:asciiTheme="majorHAnsi" w:hAnsiTheme="majorHAnsi" w:cs="Cambria"/>
          <w:color w:val="000000"/>
          <w:sz w:val="24"/>
          <w:lang w:eastAsia="mk-MK"/>
        </w:rPr>
      </w:pPr>
      <w:r w:rsidRPr="00A950B0">
        <w:rPr>
          <w:rFonts w:asciiTheme="majorHAnsi" w:hAnsiTheme="majorHAnsi" w:cs="Cambria"/>
          <w:color w:val="000000"/>
          <w:sz w:val="24"/>
          <w:lang w:eastAsia="mk-MK"/>
        </w:rPr>
        <w:t xml:space="preserve">review existing local and national practices for data collection, analysis and reporting related to Reform Agenda implementation; </w:t>
      </w:r>
    </w:p>
    <w:p w14:paraId="57284E32" w14:textId="04FE4C55" w:rsidR="004D2995" w:rsidRPr="00A950B0" w:rsidRDefault="004D2995" w:rsidP="004D2995">
      <w:pPr>
        <w:numPr>
          <w:ilvl w:val="0"/>
          <w:numId w:val="18"/>
        </w:numPr>
        <w:rPr>
          <w:rFonts w:asciiTheme="majorHAnsi" w:hAnsiTheme="majorHAnsi" w:cs="Cambria"/>
          <w:color w:val="000000"/>
          <w:sz w:val="24"/>
          <w:lang w:eastAsia="mk-MK"/>
        </w:rPr>
      </w:pPr>
      <w:r w:rsidRPr="00A950B0">
        <w:rPr>
          <w:rFonts w:asciiTheme="majorHAnsi" w:hAnsiTheme="majorHAnsi" w:cs="Cambria"/>
          <w:color w:val="000000"/>
          <w:sz w:val="24"/>
          <w:lang w:eastAsia="mk-MK"/>
        </w:rPr>
        <w:t>assess the availability and accessibility of data for local-level monitoring;</w:t>
      </w:r>
    </w:p>
    <w:p w14:paraId="404CCA2D" w14:textId="5ABEA7A9" w:rsidR="004D2995" w:rsidRPr="00A950B0" w:rsidRDefault="004D2995" w:rsidP="004D2995">
      <w:pPr>
        <w:numPr>
          <w:ilvl w:val="0"/>
          <w:numId w:val="18"/>
        </w:numPr>
        <w:rPr>
          <w:rFonts w:asciiTheme="majorHAnsi" w:hAnsiTheme="majorHAnsi" w:cs="Cambria"/>
          <w:color w:val="000000"/>
          <w:sz w:val="24"/>
          <w:lang w:eastAsia="mk-MK"/>
        </w:rPr>
      </w:pPr>
      <w:r w:rsidRPr="00A950B0">
        <w:rPr>
          <w:rFonts w:asciiTheme="majorHAnsi" w:hAnsiTheme="majorHAnsi" w:cs="Cambria"/>
          <w:color w:val="000000"/>
          <w:sz w:val="24"/>
          <w:lang w:eastAsia="mk-MK"/>
        </w:rPr>
        <w:t>identify the most appropriate sources of information and reporting channels</w:t>
      </w:r>
      <w:r w:rsidR="006C1BEB" w:rsidRPr="00A950B0">
        <w:rPr>
          <w:rFonts w:asciiTheme="majorHAnsi" w:hAnsiTheme="majorHAnsi" w:cs="Cambria"/>
          <w:color w:val="000000"/>
          <w:sz w:val="24"/>
          <w:lang w:eastAsia="mk-MK"/>
        </w:rPr>
        <w:t>;</w:t>
      </w:r>
    </w:p>
    <w:p w14:paraId="3AC89C3E" w14:textId="2B526A2D" w:rsidR="00A22AAC" w:rsidRDefault="004D2995" w:rsidP="00C526A2">
      <w:pPr>
        <w:numPr>
          <w:ilvl w:val="0"/>
          <w:numId w:val="18"/>
        </w:numPr>
        <w:rPr>
          <w:rFonts w:asciiTheme="majorHAnsi" w:hAnsiTheme="majorHAnsi" w:cs="Cambria"/>
          <w:color w:val="000000"/>
          <w:sz w:val="24"/>
          <w:lang w:eastAsia="mk-MK"/>
        </w:rPr>
      </w:pPr>
      <w:r w:rsidRPr="00A950B0">
        <w:rPr>
          <w:rFonts w:asciiTheme="majorHAnsi" w:hAnsiTheme="majorHAnsi" w:cs="Cambria"/>
          <w:color w:val="000000"/>
          <w:sz w:val="24"/>
          <w:lang w:eastAsia="mk-MK"/>
        </w:rPr>
        <w:t>provide recommendations on methods for collecting and analysing data from municipalities</w:t>
      </w:r>
      <w:r w:rsidR="006C1BEB" w:rsidRPr="00A950B0">
        <w:rPr>
          <w:rFonts w:asciiTheme="majorHAnsi" w:hAnsiTheme="majorHAnsi" w:cs="Cambria"/>
          <w:color w:val="000000"/>
          <w:sz w:val="24"/>
          <w:lang w:eastAsia="mk-MK"/>
        </w:rPr>
        <w:t>.</w:t>
      </w:r>
    </w:p>
    <w:p w14:paraId="62576F84" w14:textId="77777777" w:rsidR="00A22AAC" w:rsidRDefault="00A22AAC" w:rsidP="00C526A2">
      <w:pPr>
        <w:pStyle w:val="CommentText"/>
        <w:rPr>
          <w:rFonts w:ascii="Cambria" w:hAnsi="Cambria" w:cs="Cambria"/>
          <w:b/>
          <w:bCs/>
          <w:color w:val="000000"/>
          <w:sz w:val="24"/>
          <w:szCs w:val="24"/>
          <w:lang w:val="en-GB" w:eastAsia="mk-MK"/>
        </w:rPr>
      </w:pPr>
    </w:p>
    <w:p w14:paraId="468970DC" w14:textId="77777777" w:rsidR="00A768B5" w:rsidRDefault="00A768B5" w:rsidP="00A768B5">
      <w:pPr>
        <w:pStyle w:val="CommentText"/>
        <w:rPr>
          <w:rFonts w:ascii="Cambria" w:hAnsi="Cambria" w:cs="Cambria"/>
          <w:b/>
          <w:bCs/>
          <w:color w:val="000000"/>
          <w:sz w:val="24"/>
          <w:szCs w:val="24"/>
          <w:lang w:val="en-GB" w:eastAsia="mk-MK"/>
        </w:rPr>
      </w:pPr>
    </w:p>
    <w:p w14:paraId="726E5368" w14:textId="77777777" w:rsidR="00A768B5" w:rsidRPr="00A950B0" w:rsidRDefault="00A768B5" w:rsidP="00A768B5">
      <w:p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lastRenderedPageBreak/>
        <w:t xml:space="preserve">The Local Expert will be expected to implement the tasks based on the methodology for work and templates provided by the regional expert and in consultation with NALAS and the Congress, that will be available upon signing of the contract. </w:t>
      </w:r>
    </w:p>
    <w:p w14:paraId="0D82B4AB" w14:textId="77777777" w:rsidR="00A768B5" w:rsidRPr="00A950B0" w:rsidRDefault="00A768B5" w:rsidP="00A768B5">
      <w:pPr>
        <w:rPr>
          <w:rFonts w:asciiTheme="majorHAnsi" w:eastAsia="Aptos Light" w:hAnsiTheme="majorHAnsi" w:cs="Aptos Light"/>
          <w:sz w:val="24"/>
          <w:lang w:eastAsia="en-GB"/>
        </w:rPr>
      </w:pPr>
    </w:p>
    <w:p w14:paraId="6A59CF92" w14:textId="77777777" w:rsidR="00A768B5" w:rsidRPr="00A950B0" w:rsidRDefault="00A768B5" w:rsidP="00A768B5">
      <w:p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The local expert’s work should include both a desk review and interviews with local authorities, with the following questions (not limited to):</w:t>
      </w:r>
    </w:p>
    <w:p w14:paraId="127D10DF" w14:textId="77777777" w:rsidR="00A768B5" w:rsidRPr="00A950B0" w:rsidRDefault="00A768B5" w:rsidP="00A768B5">
      <w:pPr>
        <w:rPr>
          <w:rFonts w:asciiTheme="majorHAnsi" w:eastAsia="Aptos Light" w:hAnsiTheme="majorHAnsi" w:cs="Aptos Light"/>
          <w:sz w:val="24"/>
          <w:lang w:eastAsia="en-GB"/>
        </w:rPr>
      </w:pPr>
    </w:p>
    <w:p w14:paraId="62FD0603" w14:textId="77777777" w:rsidR="00A768B5" w:rsidRPr="00A950B0" w:rsidRDefault="00A768B5" w:rsidP="00A768B5">
      <w:pPr>
        <w:pStyle w:val="ListParagraph"/>
        <w:numPr>
          <w:ilvl w:val="0"/>
          <w:numId w:val="19"/>
        </w:num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To what extent were local governments (LGs) consulted during the preparation of the Reform Agendas and what is their current role in implementation and monitoring?</w:t>
      </w:r>
    </w:p>
    <w:p w14:paraId="1FDC9A7A" w14:textId="77777777" w:rsidR="00A768B5" w:rsidRPr="00A950B0" w:rsidRDefault="00A768B5" w:rsidP="00A768B5">
      <w:pPr>
        <w:pStyle w:val="ListParagraph"/>
        <w:numPr>
          <w:ilvl w:val="0"/>
          <w:numId w:val="19"/>
        </w:num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In which areas should LGs be more actively involved in the implementation and monitoring of the Reform Agendas?</w:t>
      </w:r>
    </w:p>
    <w:p w14:paraId="6D1EF7AF" w14:textId="77777777" w:rsidR="00A768B5" w:rsidRPr="00A950B0" w:rsidRDefault="00A768B5" w:rsidP="00A768B5">
      <w:pPr>
        <w:pStyle w:val="ListParagraph"/>
        <w:numPr>
          <w:ilvl w:val="0"/>
          <w:numId w:val="19"/>
        </w:num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Which indicators should be monitored at the local level to better assess reform implementation and impact?</w:t>
      </w:r>
    </w:p>
    <w:p w14:paraId="5810EBB6" w14:textId="77777777" w:rsidR="00A768B5" w:rsidRPr="00A950B0" w:rsidRDefault="00A768B5" w:rsidP="00A768B5">
      <w:pPr>
        <w:pStyle w:val="ListParagraph"/>
        <w:numPr>
          <w:ilvl w:val="0"/>
          <w:numId w:val="19"/>
        </w:num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Which Reform Agenda measures create direct financial implications for municipalities, (additional responsibilities, implementation costs etc.)?</w:t>
      </w:r>
    </w:p>
    <w:p w14:paraId="1C2F77C4" w14:textId="77777777" w:rsidR="00A768B5" w:rsidRPr="00A950B0" w:rsidRDefault="00A768B5" w:rsidP="00A768B5">
      <w:pPr>
        <w:pStyle w:val="ListParagraph"/>
        <w:numPr>
          <w:ilvl w:val="0"/>
          <w:numId w:val="19"/>
        </w:num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What are the main political, administrative, financial or institutional barriers that limit local authorities’ participation in the Reform Agenda process?</w:t>
      </w:r>
    </w:p>
    <w:p w14:paraId="64125B17" w14:textId="77777777" w:rsidR="00A768B5" w:rsidRPr="00A950B0" w:rsidRDefault="00A768B5" w:rsidP="00A768B5">
      <w:pPr>
        <w:pStyle w:val="ListParagraph"/>
        <w:numPr>
          <w:ilvl w:val="0"/>
          <w:numId w:val="19"/>
        </w:numPr>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What data are currently available at the local level, and what additional information would be needed for effective local-level monitoring?</w:t>
      </w:r>
    </w:p>
    <w:p w14:paraId="2F3D66BC" w14:textId="77777777" w:rsidR="00A768B5" w:rsidRPr="00A768B5" w:rsidRDefault="00A768B5" w:rsidP="00A768B5">
      <w:pPr>
        <w:pStyle w:val="ListParagraph"/>
        <w:numPr>
          <w:ilvl w:val="0"/>
          <w:numId w:val="19"/>
        </w:numPr>
        <w:autoSpaceDE w:val="0"/>
        <w:autoSpaceDN w:val="0"/>
        <w:adjustRightInd w:val="0"/>
        <w:jc w:val="left"/>
        <w:rPr>
          <w:rFonts w:asciiTheme="majorHAnsi" w:eastAsia="Aptos Light" w:hAnsiTheme="majorHAnsi" w:cs="Aptos Light"/>
          <w:sz w:val="24"/>
          <w:lang w:eastAsia="en-GB"/>
        </w:rPr>
      </w:pPr>
      <w:r w:rsidRPr="00A950B0">
        <w:rPr>
          <w:rFonts w:asciiTheme="majorHAnsi" w:eastAsia="Aptos Light" w:hAnsiTheme="majorHAnsi" w:cs="Aptos Light"/>
          <w:sz w:val="24"/>
          <w:lang w:eastAsia="en-GB"/>
        </w:rPr>
        <w:t>What direct actions should LGs undertake to strengthen their involvement in the implementation and monitoring of the Reform Agendas?</w:t>
      </w:r>
    </w:p>
    <w:p w14:paraId="2F3A80DC" w14:textId="77777777" w:rsidR="00A768B5" w:rsidRPr="00A950B0" w:rsidRDefault="00A768B5" w:rsidP="00A768B5">
      <w:pPr>
        <w:pStyle w:val="CommentText"/>
        <w:rPr>
          <w:rFonts w:ascii="Cambria" w:hAnsi="Cambria" w:cs="Cambria"/>
          <w:b/>
          <w:bCs/>
          <w:color w:val="000000"/>
          <w:sz w:val="24"/>
          <w:szCs w:val="24"/>
          <w:lang w:val="en-GB" w:eastAsia="mk-MK"/>
        </w:rPr>
      </w:pPr>
    </w:p>
    <w:p w14:paraId="34DC14A0" w14:textId="77777777" w:rsidR="00C526A2" w:rsidRPr="00A950B0" w:rsidRDefault="00C526A2" w:rsidP="00126B0D">
      <w:pPr>
        <w:rPr>
          <w:sz w:val="24"/>
        </w:rPr>
      </w:pPr>
    </w:p>
    <w:p w14:paraId="2ACAD7FB" w14:textId="49B40366" w:rsidR="002638A8" w:rsidRPr="00A950B0" w:rsidRDefault="0065406C" w:rsidP="00126B0D">
      <w:pPr>
        <w:pStyle w:val="Heading2"/>
        <w:rPr>
          <w:sz w:val="24"/>
          <w:lang w:val="en-GB"/>
        </w:rPr>
      </w:pPr>
      <w:r w:rsidRPr="00A950B0">
        <w:rPr>
          <w:sz w:val="24"/>
          <w:lang w:val="en-GB"/>
        </w:rPr>
        <w:t>4</w:t>
      </w:r>
      <w:r w:rsidR="00CC42C3" w:rsidRPr="00A950B0">
        <w:rPr>
          <w:sz w:val="24"/>
          <w:lang w:val="en-GB"/>
        </w:rPr>
        <w:t>.</w:t>
      </w:r>
      <w:r w:rsidR="00CC42C3" w:rsidRPr="00A950B0">
        <w:rPr>
          <w:b w:val="0"/>
          <w:bCs/>
          <w:sz w:val="24"/>
          <w:lang w:val="en-GB"/>
        </w:rPr>
        <w:t xml:space="preserve"> </w:t>
      </w:r>
      <w:r w:rsidR="0036453C" w:rsidRPr="00A950B0">
        <w:rPr>
          <w:b w:val="0"/>
          <w:bCs/>
          <w:sz w:val="24"/>
          <w:lang w:val="en-GB"/>
        </w:rPr>
        <w:t>Activities, d</w:t>
      </w:r>
      <w:r w:rsidR="00BC3920" w:rsidRPr="00A950B0">
        <w:rPr>
          <w:b w:val="0"/>
          <w:bCs/>
          <w:sz w:val="24"/>
          <w:lang w:val="en-GB"/>
        </w:rPr>
        <w:t>eliverables</w:t>
      </w:r>
      <w:r w:rsidR="00BC557D" w:rsidRPr="00A950B0">
        <w:rPr>
          <w:b w:val="0"/>
          <w:bCs/>
          <w:sz w:val="24"/>
          <w:lang w:val="en-GB"/>
        </w:rPr>
        <w:t xml:space="preserve"> and</w:t>
      </w:r>
      <w:r w:rsidR="0036453C" w:rsidRPr="00A950B0">
        <w:rPr>
          <w:b w:val="0"/>
          <w:bCs/>
          <w:sz w:val="24"/>
          <w:lang w:val="en-GB"/>
        </w:rPr>
        <w:t xml:space="preserve"> </w:t>
      </w:r>
      <w:r w:rsidR="00BC557D" w:rsidRPr="00A950B0">
        <w:rPr>
          <w:b w:val="0"/>
          <w:bCs/>
          <w:sz w:val="24"/>
          <w:lang w:val="en-GB"/>
        </w:rPr>
        <w:t>deadlines</w:t>
      </w:r>
      <w:r w:rsidR="00BC3920" w:rsidRPr="00A950B0">
        <w:rPr>
          <w:b w:val="0"/>
          <w:bCs/>
          <w:sz w:val="24"/>
          <w:lang w:val="en-GB"/>
        </w:rPr>
        <w:t xml:space="preserve"> under the contract</w:t>
      </w:r>
      <w:r w:rsidR="00C526A2" w:rsidRPr="00A950B0">
        <w:rPr>
          <w:b w:val="0"/>
          <w:bCs/>
          <w:sz w:val="24"/>
          <w:lang w:val="en-GB"/>
        </w:rPr>
        <w:t xml:space="preserve"> </w:t>
      </w:r>
    </w:p>
    <w:p w14:paraId="20898F63" w14:textId="77777777" w:rsidR="0036453C" w:rsidRPr="00A950B0" w:rsidRDefault="0036453C" w:rsidP="00126B0D">
      <w:pPr>
        <w:rPr>
          <w:sz w:val="24"/>
        </w:rPr>
      </w:pPr>
    </w:p>
    <w:tbl>
      <w:tblPr>
        <w:tblStyle w:val="TableGrid"/>
        <w:tblW w:w="9973" w:type="dxa"/>
        <w:tblInd w:w="-455" w:type="dxa"/>
        <w:tblLook w:val="04A0" w:firstRow="1" w:lastRow="0" w:firstColumn="1" w:lastColumn="0" w:noHBand="0" w:noVBand="1"/>
      </w:tblPr>
      <w:tblGrid>
        <w:gridCol w:w="3960"/>
        <w:gridCol w:w="2250"/>
        <w:gridCol w:w="2160"/>
        <w:gridCol w:w="1603"/>
      </w:tblGrid>
      <w:tr w:rsidR="00E51AB3" w:rsidRPr="00E04977" w14:paraId="4BE0021E" w14:textId="77777777" w:rsidTr="00AE542E">
        <w:trPr>
          <w:trHeight w:val="247"/>
        </w:trPr>
        <w:tc>
          <w:tcPr>
            <w:tcW w:w="3960" w:type="dxa"/>
            <w:tcBorders>
              <w:bottom w:val="single" w:sz="4" w:space="0" w:color="auto"/>
            </w:tcBorders>
          </w:tcPr>
          <w:p w14:paraId="6F55942A" w14:textId="77777777" w:rsidR="00C526A2" w:rsidRPr="00E04977" w:rsidRDefault="002C03F4" w:rsidP="00126B0D">
            <w:pPr>
              <w:jc w:val="center"/>
              <w:rPr>
                <w:rFonts w:asciiTheme="majorHAnsi" w:hAnsiTheme="majorHAnsi" w:cs="Arial"/>
                <w:b/>
                <w:bCs/>
                <w:color w:val="000000"/>
                <w:szCs w:val="22"/>
              </w:rPr>
            </w:pPr>
            <w:bookmarkStart w:id="0" w:name="_Hlk227166083"/>
            <w:r w:rsidRPr="00E04977">
              <w:rPr>
                <w:rFonts w:asciiTheme="majorHAnsi" w:hAnsiTheme="majorHAnsi" w:cs="Arial"/>
                <w:color w:val="000000"/>
                <w:szCs w:val="22"/>
              </w:rPr>
              <w:t>Activity</w:t>
            </w:r>
            <w:r w:rsidR="00C526A2" w:rsidRPr="00E04977">
              <w:rPr>
                <w:rFonts w:asciiTheme="majorHAnsi" w:hAnsiTheme="majorHAnsi" w:cs="Arial"/>
                <w:color w:val="000000"/>
                <w:szCs w:val="22"/>
              </w:rPr>
              <w:t xml:space="preserve"> </w:t>
            </w:r>
            <w:r w:rsidR="00C526A2" w:rsidRPr="00E04977">
              <w:rPr>
                <w:rFonts w:asciiTheme="majorHAnsi" w:hAnsiTheme="majorHAnsi" w:cs="Arial"/>
                <w:b/>
                <w:bCs/>
                <w:color w:val="000000"/>
                <w:szCs w:val="22"/>
              </w:rPr>
              <w:t xml:space="preserve">/ </w:t>
            </w:r>
          </w:p>
          <w:p w14:paraId="412E43A2" w14:textId="5786F443" w:rsidR="002C03F4" w:rsidRPr="00E04977" w:rsidRDefault="002C03F4" w:rsidP="00835D72">
            <w:pPr>
              <w:jc w:val="center"/>
              <w:rPr>
                <w:rFonts w:asciiTheme="majorHAnsi" w:hAnsiTheme="majorHAnsi" w:cs="Arial"/>
                <w:b/>
                <w:bCs/>
                <w:color w:val="000000"/>
                <w:szCs w:val="22"/>
              </w:rPr>
            </w:pPr>
          </w:p>
        </w:tc>
        <w:tc>
          <w:tcPr>
            <w:tcW w:w="2250" w:type="dxa"/>
            <w:tcBorders>
              <w:bottom w:val="single" w:sz="4" w:space="0" w:color="auto"/>
            </w:tcBorders>
            <w:vAlign w:val="center"/>
          </w:tcPr>
          <w:p w14:paraId="37F2EB0B" w14:textId="21F0032B" w:rsidR="002C03F4" w:rsidRPr="00E04977" w:rsidRDefault="002C03F4" w:rsidP="00126B0D">
            <w:pPr>
              <w:jc w:val="center"/>
              <w:rPr>
                <w:rFonts w:asciiTheme="majorHAnsi" w:hAnsiTheme="majorHAnsi" w:cs="Arial"/>
                <w:b/>
                <w:bCs/>
                <w:color w:val="000000"/>
                <w:szCs w:val="22"/>
              </w:rPr>
            </w:pPr>
            <w:r w:rsidRPr="00E04977">
              <w:rPr>
                <w:rFonts w:asciiTheme="majorHAnsi" w:hAnsiTheme="majorHAnsi" w:cs="Arial"/>
                <w:color w:val="000000"/>
                <w:szCs w:val="22"/>
              </w:rPr>
              <w:t>Deliverables</w:t>
            </w:r>
            <w:r w:rsidR="00C526A2" w:rsidRPr="00E04977">
              <w:rPr>
                <w:rFonts w:asciiTheme="majorHAnsi" w:hAnsiTheme="majorHAnsi" w:cs="Arial"/>
                <w:b/>
                <w:bCs/>
                <w:color w:val="000000"/>
                <w:szCs w:val="22"/>
              </w:rPr>
              <w:t xml:space="preserve"> / </w:t>
            </w:r>
          </w:p>
        </w:tc>
        <w:tc>
          <w:tcPr>
            <w:tcW w:w="2160" w:type="dxa"/>
            <w:tcBorders>
              <w:bottom w:val="single" w:sz="4" w:space="0" w:color="auto"/>
            </w:tcBorders>
          </w:tcPr>
          <w:p w14:paraId="71E13BAF" w14:textId="62612590" w:rsidR="002C03F4" w:rsidRPr="00E04977" w:rsidRDefault="002C03F4" w:rsidP="00126B0D">
            <w:pPr>
              <w:jc w:val="center"/>
              <w:rPr>
                <w:rFonts w:asciiTheme="majorHAnsi" w:hAnsiTheme="majorHAnsi" w:cs="Arial"/>
                <w:b/>
                <w:bCs/>
                <w:color w:val="000000"/>
                <w:szCs w:val="22"/>
              </w:rPr>
            </w:pPr>
            <w:r w:rsidRPr="00E04977">
              <w:rPr>
                <w:rFonts w:asciiTheme="majorHAnsi" w:hAnsiTheme="majorHAnsi" w:cs="Arial"/>
                <w:color w:val="000000"/>
                <w:szCs w:val="22"/>
              </w:rPr>
              <w:t xml:space="preserve">Estimated number of </w:t>
            </w:r>
            <w:r w:rsidR="00AD46F3" w:rsidRPr="00E04977">
              <w:rPr>
                <w:rFonts w:asciiTheme="majorHAnsi" w:hAnsiTheme="majorHAnsi" w:cs="Arial"/>
                <w:color w:val="000000"/>
                <w:szCs w:val="22"/>
              </w:rPr>
              <w:t>workdays</w:t>
            </w:r>
            <w:r w:rsidR="00C526A2" w:rsidRPr="00E04977">
              <w:rPr>
                <w:rFonts w:asciiTheme="majorHAnsi" w:hAnsiTheme="majorHAnsi" w:cs="Arial"/>
                <w:b/>
                <w:bCs/>
                <w:color w:val="000000"/>
                <w:szCs w:val="22"/>
              </w:rPr>
              <w:t xml:space="preserve"> </w:t>
            </w:r>
          </w:p>
        </w:tc>
        <w:tc>
          <w:tcPr>
            <w:tcW w:w="1603" w:type="dxa"/>
            <w:tcBorders>
              <w:bottom w:val="single" w:sz="4" w:space="0" w:color="auto"/>
            </w:tcBorders>
            <w:vAlign w:val="center"/>
          </w:tcPr>
          <w:p w14:paraId="7D2FE4E7" w14:textId="2A5BB9CA" w:rsidR="002C03F4" w:rsidRPr="00E04977" w:rsidRDefault="002C03F4" w:rsidP="00126B0D">
            <w:pPr>
              <w:jc w:val="center"/>
              <w:rPr>
                <w:rFonts w:asciiTheme="majorHAnsi" w:hAnsiTheme="majorHAnsi" w:cs="Arial"/>
                <w:b/>
                <w:bCs/>
                <w:color w:val="000000"/>
                <w:szCs w:val="22"/>
              </w:rPr>
            </w:pPr>
            <w:r w:rsidRPr="00E04977">
              <w:rPr>
                <w:rFonts w:asciiTheme="majorHAnsi" w:hAnsiTheme="majorHAnsi" w:cs="Arial"/>
                <w:color w:val="000000"/>
                <w:szCs w:val="22"/>
              </w:rPr>
              <w:t>Deadlines</w:t>
            </w:r>
            <w:r w:rsidR="00C526A2" w:rsidRPr="00E04977">
              <w:rPr>
                <w:rFonts w:asciiTheme="majorHAnsi" w:hAnsiTheme="majorHAnsi" w:cs="Arial"/>
                <w:b/>
                <w:bCs/>
                <w:color w:val="000000"/>
                <w:szCs w:val="22"/>
              </w:rPr>
              <w:t xml:space="preserve"> </w:t>
            </w:r>
          </w:p>
        </w:tc>
      </w:tr>
      <w:tr w:rsidR="00E51AB3" w:rsidRPr="00E04977" w14:paraId="0FF02EF9" w14:textId="77777777" w:rsidTr="00AE542E">
        <w:trPr>
          <w:trHeight w:val="505"/>
        </w:trPr>
        <w:tc>
          <w:tcPr>
            <w:tcW w:w="3960" w:type="dxa"/>
            <w:tcBorders>
              <w:top w:val="single" w:sz="4" w:space="0" w:color="auto"/>
              <w:left w:val="single" w:sz="4" w:space="0" w:color="auto"/>
              <w:bottom w:val="single" w:sz="4" w:space="0" w:color="auto"/>
              <w:right w:val="single" w:sz="4" w:space="0" w:color="auto"/>
            </w:tcBorders>
          </w:tcPr>
          <w:p w14:paraId="35BEAF09" w14:textId="77777777" w:rsidR="002C03F4" w:rsidRPr="00E04977" w:rsidRDefault="002C03F4" w:rsidP="00AE542E">
            <w:pPr>
              <w:jc w:val="left"/>
              <w:rPr>
                <w:rFonts w:asciiTheme="majorHAnsi" w:hAnsiTheme="majorHAnsi" w:cs="Arial"/>
                <w:color w:val="000000"/>
                <w:szCs w:val="22"/>
              </w:rPr>
            </w:pPr>
            <w:r w:rsidRPr="00E04977">
              <w:rPr>
                <w:rFonts w:asciiTheme="majorHAnsi" w:hAnsiTheme="majorHAnsi" w:cs="Arial"/>
                <w:color w:val="000000"/>
                <w:szCs w:val="22"/>
              </w:rPr>
              <w:t xml:space="preserve">Local input for the baseline study (including desk research, interviews and survey) </w:t>
            </w:r>
          </w:p>
          <w:p w14:paraId="4A7E71D6" w14:textId="4F9C1EDB" w:rsidR="00C526A2" w:rsidRPr="00E04977" w:rsidRDefault="00C526A2" w:rsidP="00AE542E">
            <w:pPr>
              <w:jc w:val="left"/>
              <w:rPr>
                <w:rFonts w:asciiTheme="majorHAnsi" w:hAnsiTheme="majorHAnsi" w:cs="Arial"/>
                <w:color w:val="000000"/>
                <w:szCs w:val="22"/>
              </w:rPr>
            </w:pPr>
          </w:p>
        </w:tc>
        <w:tc>
          <w:tcPr>
            <w:tcW w:w="2250" w:type="dxa"/>
            <w:tcBorders>
              <w:top w:val="single" w:sz="4" w:space="0" w:color="auto"/>
              <w:left w:val="single" w:sz="4" w:space="0" w:color="auto"/>
              <w:bottom w:val="single" w:sz="4" w:space="0" w:color="auto"/>
              <w:right w:val="single" w:sz="4" w:space="0" w:color="auto"/>
            </w:tcBorders>
          </w:tcPr>
          <w:p w14:paraId="42979A41" w14:textId="2A45BBCF" w:rsidR="002C03F4" w:rsidRPr="00E04977" w:rsidRDefault="002C03F4" w:rsidP="00AE542E">
            <w:pPr>
              <w:jc w:val="left"/>
              <w:rPr>
                <w:rFonts w:asciiTheme="majorHAnsi" w:hAnsiTheme="majorHAnsi" w:cstheme="majorBidi"/>
                <w:szCs w:val="22"/>
              </w:rPr>
            </w:pPr>
            <w:r w:rsidRPr="00E04977">
              <w:rPr>
                <w:rFonts w:asciiTheme="majorHAnsi" w:hAnsiTheme="majorHAnsi" w:cstheme="majorBidi"/>
                <w:szCs w:val="22"/>
              </w:rPr>
              <w:t xml:space="preserve">Contribution to the conduct of the baseline study </w:t>
            </w:r>
          </w:p>
          <w:p w14:paraId="6BBE0612" w14:textId="4A19D3D3" w:rsidR="002C03F4" w:rsidRPr="00E04977" w:rsidRDefault="002C03F4" w:rsidP="00835D72">
            <w:pPr>
              <w:jc w:val="left"/>
              <w:rPr>
                <w:rFonts w:asciiTheme="majorHAnsi" w:hAnsiTheme="majorHAnsi" w:cstheme="majorBidi"/>
                <w:szCs w:val="22"/>
              </w:rPr>
            </w:pPr>
          </w:p>
        </w:tc>
        <w:tc>
          <w:tcPr>
            <w:tcW w:w="2160" w:type="dxa"/>
            <w:tcBorders>
              <w:top w:val="single" w:sz="4" w:space="0" w:color="auto"/>
              <w:left w:val="single" w:sz="4" w:space="0" w:color="auto"/>
              <w:bottom w:val="single" w:sz="4" w:space="0" w:color="auto"/>
              <w:right w:val="single" w:sz="4" w:space="0" w:color="auto"/>
            </w:tcBorders>
          </w:tcPr>
          <w:p w14:paraId="09A167DE" w14:textId="77777777" w:rsidR="00835D72" w:rsidRPr="00E04977" w:rsidRDefault="00835D72" w:rsidP="00126B0D">
            <w:pPr>
              <w:jc w:val="center"/>
              <w:rPr>
                <w:rFonts w:asciiTheme="majorHAnsi" w:hAnsiTheme="majorHAnsi" w:cs="Arial"/>
                <w:color w:val="000000"/>
                <w:szCs w:val="22"/>
              </w:rPr>
            </w:pPr>
          </w:p>
          <w:p w14:paraId="3E6FE79A" w14:textId="2E6F6303" w:rsidR="002C03F4" w:rsidRPr="00E04977" w:rsidRDefault="002C03F4" w:rsidP="00126B0D">
            <w:pPr>
              <w:jc w:val="center"/>
              <w:rPr>
                <w:rFonts w:asciiTheme="majorHAnsi" w:hAnsiTheme="majorHAnsi" w:cs="Arial"/>
                <w:color w:val="000000"/>
                <w:szCs w:val="22"/>
              </w:rPr>
            </w:pPr>
            <w:r w:rsidRPr="00E04977">
              <w:rPr>
                <w:rFonts w:asciiTheme="majorHAnsi" w:hAnsiTheme="majorHAnsi" w:cs="Arial"/>
                <w:color w:val="000000"/>
                <w:szCs w:val="22"/>
              </w:rPr>
              <w:t xml:space="preserve">Up to </w:t>
            </w:r>
            <w:r w:rsidR="00011FA3">
              <w:rPr>
                <w:rFonts w:asciiTheme="majorHAnsi" w:hAnsiTheme="majorHAnsi" w:cs="Arial"/>
                <w:color w:val="000000"/>
                <w:szCs w:val="22"/>
              </w:rPr>
              <w:t>7</w:t>
            </w:r>
            <w:r w:rsidRPr="00E04977">
              <w:rPr>
                <w:rFonts w:asciiTheme="majorHAnsi" w:hAnsiTheme="majorHAnsi" w:cs="Arial"/>
                <w:color w:val="000000"/>
                <w:szCs w:val="22"/>
              </w:rPr>
              <w:t xml:space="preserve"> days</w:t>
            </w:r>
          </w:p>
          <w:p w14:paraId="45B2EEBC" w14:textId="77777777" w:rsidR="00C526A2" w:rsidRPr="00E04977" w:rsidRDefault="00C526A2" w:rsidP="00126B0D">
            <w:pPr>
              <w:jc w:val="center"/>
              <w:rPr>
                <w:rFonts w:asciiTheme="majorHAnsi" w:hAnsiTheme="majorHAnsi" w:cs="Arial"/>
                <w:color w:val="000000"/>
                <w:szCs w:val="22"/>
              </w:rPr>
            </w:pPr>
          </w:p>
          <w:p w14:paraId="0052828C" w14:textId="3E915848" w:rsidR="00C526A2" w:rsidRPr="00E04977" w:rsidDel="00465D8D" w:rsidRDefault="00C526A2" w:rsidP="00126B0D">
            <w:pPr>
              <w:jc w:val="center"/>
              <w:rPr>
                <w:rFonts w:asciiTheme="majorHAnsi" w:hAnsiTheme="majorHAnsi" w:cs="Arial"/>
                <w:b/>
                <w:bCs/>
                <w:color w:val="000000"/>
                <w:szCs w:val="22"/>
              </w:rPr>
            </w:pPr>
          </w:p>
        </w:tc>
        <w:tc>
          <w:tcPr>
            <w:tcW w:w="1603" w:type="dxa"/>
            <w:tcBorders>
              <w:top w:val="single" w:sz="4" w:space="0" w:color="auto"/>
              <w:left w:val="single" w:sz="4" w:space="0" w:color="auto"/>
              <w:bottom w:val="single" w:sz="4" w:space="0" w:color="auto"/>
              <w:right w:val="single" w:sz="4" w:space="0" w:color="auto"/>
            </w:tcBorders>
          </w:tcPr>
          <w:p w14:paraId="094FF4D2" w14:textId="439C9DC4" w:rsidR="002C03F4" w:rsidRPr="00E04977" w:rsidRDefault="00577E85" w:rsidP="00126B0D">
            <w:pPr>
              <w:jc w:val="center"/>
              <w:rPr>
                <w:rFonts w:asciiTheme="majorHAnsi" w:hAnsiTheme="majorHAnsi" w:cs="Arial"/>
                <w:color w:val="000000"/>
                <w:szCs w:val="22"/>
              </w:rPr>
            </w:pPr>
            <w:r w:rsidRPr="00E04977">
              <w:rPr>
                <w:rFonts w:asciiTheme="majorHAnsi" w:hAnsiTheme="majorHAnsi" w:cs="Arial"/>
                <w:color w:val="000000"/>
                <w:szCs w:val="22"/>
              </w:rPr>
              <w:t>30</w:t>
            </w:r>
            <w:r w:rsidR="00940E89" w:rsidRPr="00E04977">
              <w:rPr>
                <w:rFonts w:asciiTheme="majorHAnsi" w:hAnsiTheme="majorHAnsi" w:cs="Arial"/>
                <w:color w:val="000000"/>
                <w:szCs w:val="22"/>
              </w:rPr>
              <w:t xml:space="preserve"> Ju</w:t>
            </w:r>
            <w:r w:rsidRPr="00E04977">
              <w:rPr>
                <w:rFonts w:asciiTheme="majorHAnsi" w:hAnsiTheme="majorHAnsi" w:cs="Arial"/>
                <w:color w:val="000000"/>
                <w:szCs w:val="22"/>
              </w:rPr>
              <w:t>ne</w:t>
            </w:r>
            <w:r w:rsidR="002C03F4" w:rsidRPr="00E04977">
              <w:rPr>
                <w:rFonts w:asciiTheme="majorHAnsi" w:hAnsiTheme="majorHAnsi" w:cs="Arial"/>
                <w:color w:val="000000"/>
                <w:szCs w:val="22"/>
              </w:rPr>
              <w:t xml:space="preserve"> 2026</w:t>
            </w:r>
          </w:p>
          <w:p w14:paraId="73FBE42F" w14:textId="5BFF78E3" w:rsidR="00C526A2" w:rsidRPr="00E04977" w:rsidRDefault="00C526A2" w:rsidP="00126B0D">
            <w:pPr>
              <w:jc w:val="center"/>
              <w:rPr>
                <w:rFonts w:asciiTheme="majorHAnsi" w:hAnsiTheme="majorHAnsi" w:cs="Arial"/>
                <w:b/>
                <w:bCs/>
                <w:color w:val="000000"/>
                <w:szCs w:val="22"/>
                <w:highlight w:val="yellow"/>
              </w:rPr>
            </w:pPr>
          </w:p>
        </w:tc>
      </w:tr>
      <w:tr w:rsidR="00045123" w:rsidRPr="00E04977" w14:paraId="0F898353" w14:textId="77777777" w:rsidTr="00895639">
        <w:trPr>
          <w:trHeight w:val="1558"/>
        </w:trPr>
        <w:tc>
          <w:tcPr>
            <w:tcW w:w="3960" w:type="dxa"/>
            <w:tcBorders>
              <w:top w:val="single" w:sz="4" w:space="0" w:color="auto"/>
              <w:left w:val="single" w:sz="4" w:space="0" w:color="auto"/>
              <w:bottom w:val="single" w:sz="4" w:space="0" w:color="auto"/>
              <w:right w:val="single" w:sz="4" w:space="0" w:color="auto"/>
            </w:tcBorders>
          </w:tcPr>
          <w:p w14:paraId="6A5337CA" w14:textId="1DF134DF" w:rsidR="00045123" w:rsidRPr="00E04977" w:rsidRDefault="00045123" w:rsidP="00835D72">
            <w:pPr>
              <w:jc w:val="left"/>
              <w:rPr>
                <w:rFonts w:asciiTheme="majorHAnsi" w:hAnsiTheme="majorHAnsi" w:cs="Arial"/>
                <w:color w:val="000000"/>
                <w:szCs w:val="22"/>
              </w:rPr>
            </w:pPr>
          </w:p>
          <w:p w14:paraId="38C91CAA" w14:textId="77777777" w:rsidR="00045123" w:rsidRPr="00E04977" w:rsidRDefault="00045123" w:rsidP="00045123">
            <w:pPr>
              <w:rPr>
                <w:rFonts w:asciiTheme="majorHAnsi" w:hAnsiTheme="majorHAnsi" w:cs="Arial"/>
                <w:color w:val="000000"/>
                <w:szCs w:val="22"/>
              </w:rPr>
            </w:pPr>
            <w:r w:rsidRPr="00E04977">
              <w:rPr>
                <w:rFonts w:asciiTheme="majorHAnsi" w:hAnsiTheme="majorHAnsi" w:cs="Arial"/>
                <w:color w:val="000000"/>
                <w:szCs w:val="22"/>
              </w:rPr>
              <w:t>Local input for the set of monitoring indicators</w:t>
            </w:r>
          </w:p>
          <w:p w14:paraId="5C7C2960" w14:textId="77777777" w:rsidR="00045123" w:rsidRPr="00E04977" w:rsidRDefault="00045123" w:rsidP="00835D72">
            <w:pPr>
              <w:jc w:val="left"/>
              <w:rPr>
                <w:rFonts w:asciiTheme="majorHAnsi" w:hAnsiTheme="majorHAnsi" w:cs="Arial"/>
                <w:color w:val="000000"/>
                <w:szCs w:val="22"/>
              </w:rPr>
            </w:pPr>
          </w:p>
          <w:p w14:paraId="1C48FEC4" w14:textId="77777777" w:rsidR="00045123" w:rsidRPr="00E04977" w:rsidRDefault="00045123" w:rsidP="00835D72">
            <w:pPr>
              <w:jc w:val="left"/>
              <w:rPr>
                <w:rFonts w:asciiTheme="majorHAnsi" w:hAnsiTheme="majorHAnsi" w:cs="Arial"/>
                <w:color w:val="000000"/>
                <w:szCs w:val="22"/>
              </w:rPr>
            </w:pPr>
          </w:p>
          <w:p w14:paraId="3938233B" w14:textId="5A6E1816" w:rsidR="00045123" w:rsidRPr="00E04977" w:rsidRDefault="00045123" w:rsidP="00835D72">
            <w:pPr>
              <w:jc w:val="left"/>
              <w:rPr>
                <w:rFonts w:asciiTheme="majorHAnsi" w:hAnsiTheme="majorHAnsi" w:cs="Arial"/>
                <w:color w:val="000000"/>
                <w:szCs w:val="22"/>
              </w:rPr>
            </w:pPr>
          </w:p>
        </w:tc>
        <w:tc>
          <w:tcPr>
            <w:tcW w:w="2250" w:type="dxa"/>
            <w:tcBorders>
              <w:top w:val="single" w:sz="4" w:space="0" w:color="auto"/>
              <w:left w:val="single" w:sz="4" w:space="0" w:color="auto"/>
              <w:bottom w:val="single" w:sz="4" w:space="0" w:color="auto"/>
              <w:right w:val="single" w:sz="4" w:space="0" w:color="auto"/>
            </w:tcBorders>
          </w:tcPr>
          <w:p w14:paraId="759ADE2E" w14:textId="490E4AB5" w:rsidR="00045123" w:rsidRPr="00E04977" w:rsidRDefault="00045123" w:rsidP="00AE542E">
            <w:pPr>
              <w:jc w:val="left"/>
              <w:rPr>
                <w:rFonts w:asciiTheme="majorHAnsi" w:hAnsiTheme="majorHAnsi" w:cs="Arial"/>
                <w:color w:val="000000"/>
                <w:szCs w:val="22"/>
              </w:rPr>
            </w:pPr>
            <w:r w:rsidRPr="00E04977">
              <w:rPr>
                <w:rFonts w:asciiTheme="majorHAnsi" w:hAnsiTheme="majorHAnsi" w:cs="Arial"/>
                <w:color w:val="000000"/>
                <w:szCs w:val="22"/>
              </w:rPr>
              <w:t xml:space="preserve">Contribution to the definition of monitoring indicators </w:t>
            </w:r>
          </w:p>
          <w:p w14:paraId="4FE14B77" w14:textId="77777777" w:rsidR="00045123" w:rsidRPr="00E04977" w:rsidRDefault="00045123" w:rsidP="00AE542E">
            <w:pPr>
              <w:jc w:val="left"/>
              <w:rPr>
                <w:rFonts w:asciiTheme="majorHAnsi" w:hAnsiTheme="majorHAnsi" w:cs="Arial"/>
                <w:color w:val="000000"/>
                <w:szCs w:val="22"/>
              </w:rPr>
            </w:pPr>
          </w:p>
          <w:p w14:paraId="25405484" w14:textId="370066CF" w:rsidR="00045123" w:rsidRPr="00E04977" w:rsidRDefault="00045123" w:rsidP="00AE542E">
            <w:pPr>
              <w:jc w:val="left"/>
              <w:rPr>
                <w:rFonts w:asciiTheme="majorHAnsi" w:hAnsiTheme="majorHAnsi" w:cs="Arial"/>
                <w:color w:val="000000"/>
                <w:szCs w:val="22"/>
              </w:rPr>
            </w:pPr>
          </w:p>
        </w:tc>
        <w:tc>
          <w:tcPr>
            <w:tcW w:w="2160" w:type="dxa"/>
            <w:vMerge w:val="restart"/>
            <w:tcBorders>
              <w:top w:val="single" w:sz="4" w:space="0" w:color="auto"/>
              <w:left w:val="single" w:sz="4" w:space="0" w:color="auto"/>
              <w:right w:val="single" w:sz="4" w:space="0" w:color="auto"/>
            </w:tcBorders>
          </w:tcPr>
          <w:p w14:paraId="399EA4F1" w14:textId="77777777" w:rsidR="00045123" w:rsidRPr="00E04977" w:rsidRDefault="00045123" w:rsidP="00375B2B">
            <w:pPr>
              <w:jc w:val="center"/>
              <w:rPr>
                <w:rFonts w:asciiTheme="majorHAnsi" w:hAnsiTheme="majorHAnsi" w:cs="Arial"/>
                <w:color w:val="000000"/>
                <w:szCs w:val="22"/>
              </w:rPr>
            </w:pPr>
          </w:p>
          <w:p w14:paraId="76388F45" w14:textId="77777777" w:rsidR="00045123" w:rsidRPr="00E04977" w:rsidRDefault="00045123" w:rsidP="00375B2B">
            <w:pPr>
              <w:jc w:val="center"/>
              <w:rPr>
                <w:rFonts w:asciiTheme="majorHAnsi" w:hAnsiTheme="majorHAnsi" w:cs="Arial"/>
                <w:color w:val="000000"/>
                <w:szCs w:val="22"/>
              </w:rPr>
            </w:pPr>
          </w:p>
          <w:p w14:paraId="2B550ED2" w14:textId="77777777" w:rsidR="00045123" w:rsidRPr="00E04977" w:rsidRDefault="00045123" w:rsidP="00375B2B">
            <w:pPr>
              <w:jc w:val="center"/>
              <w:rPr>
                <w:rFonts w:asciiTheme="majorHAnsi" w:hAnsiTheme="majorHAnsi" w:cs="Arial"/>
                <w:color w:val="000000"/>
                <w:szCs w:val="22"/>
              </w:rPr>
            </w:pPr>
          </w:p>
          <w:p w14:paraId="513C0E3F" w14:textId="77777777" w:rsidR="00045123" w:rsidRPr="00E04977" w:rsidRDefault="00045123" w:rsidP="00375B2B">
            <w:pPr>
              <w:jc w:val="center"/>
              <w:rPr>
                <w:rFonts w:asciiTheme="majorHAnsi" w:hAnsiTheme="majorHAnsi" w:cs="Arial"/>
                <w:color w:val="000000"/>
                <w:szCs w:val="22"/>
              </w:rPr>
            </w:pPr>
          </w:p>
          <w:p w14:paraId="528987EE" w14:textId="77777777" w:rsidR="00045123" w:rsidRPr="00E04977" w:rsidRDefault="00045123" w:rsidP="00375B2B">
            <w:pPr>
              <w:jc w:val="center"/>
              <w:rPr>
                <w:rFonts w:asciiTheme="majorHAnsi" w:hAnsiTheme="majorHAnsi" w:cs="Arial"/>
                <w:color w:val="000000"/>
                <w:szCs w:val="22"/>
              </w:rPr>
            </w:pPr>
          </w:p>
          <w:p w14:paraId="0EDC02C6" w14:textId="747D2E4A" w:rsidR="00045123" w:rsidRPr="00E04977" w:rsidRDefault="00045123" w:rsidP="00375B2B">
            <w:pPr>
              <w:jc w:val="center"/>
              <w:rPr>
                <w:rFonts w:asciiTheme="majorHAnsi" w:hAnsiTheme="majorHAnsi" w:cs="Arial"/>
                <w:color w:val="000000"/>
                <w:szCs w:val="22"/>
              </w:rPr>
            </w:pPr>
            <w:r w:rsidRPr="00E04977">
              <w:rPr>
                <w:rFonts w:asciiTheme="majorHAnsi" w:hAnsiTheme="majorHAnsi" w:cs="Arial"/>
                <w:color w:val="000000"/>
                <w:szCs w:val="22"/>
              </w:rPr>
              <w:t xml:space="preserve">Up to </w:t>
            </w:r>
            <w:r w:rsidR="00011FA3">
              <w:rPr>
                <w:rFonts w:asciiTheme="majorHAnsi" w:hAnsiTheme="majorHAnsi" w:cs="Arial"/>
                <w:color w:val="000000"/>
                <w:szCs w:val="22"/>
              </w:rPr>
              <w:t>5</w:t>
            </w:r>
            <w:r w:rsidRPr="00E04977">
              <w:rPr>
                <w:rFonts w:asciiTheme="majorHAnsi" w:hAnsiTheme="majorHAnsi" w:cs="Arial"/>
                <w:color w:val="000000"/>
                <w:szCs w:val="22"/>
              </w:rPr>
              <w:t xml:space="preserve"> days</w:t>
            </w:r>
          </w:p>
          <w:p w14:paraId="5CA3FBFE" w14:textId="77777777" w:rsidR="00045123" w:rsidRPr="00E04977" w:rsidRDefault="00045123" w:rsidP="00375B2B">
            <w:pPr>
              <w:jc w:val="center"/>
              <w:rPr>
                <w:rFonts w:asciiTheme="majorHAnsi" w:hAnsiTheme="majorHAnsi" w:cs="Arial"/>
                <w:color w:val="000000"/>
                <w:szCs w:val="22"/>
              </w:rPr>
            </w:pPr>
          </w:p>
          <w:p w14:paraId="1E1FE61A" w14:textId="3D05C8AA" w:rsidR="00045123" w:rsidRPr="00E04977" w:rsidDel="00465D8D" w:rsidRDefault="00045123" w:rsidP="00375B2B">
            <w:pPr>
              <w:jc w:val="center"/>
              <w:rPr>
                <w:rFonts w:asciiTheme="majorHAnsi" w:hAnsiTheme="majorHAnsi" w:cs="Arial"/>
                <w:b/>
                <w:bCs/>
                <w:color w:val="000000"/>
                <w:szCs w:val="22"/>
              </w:rPr>
            </w:pPr>
          </w:p>
        </w:tc>
        <w:tc>
          <w:tcPr>
            <w:tcW w:w="1603" w:type="dxa"/>
            <w:vMerge w:val="restart"/>
            <w:tcBorders>
              <w:top w:val="single" w:sz="4" w:space="0" w:color="auto"/>
              <w:left w:val="single" w:sz="4" w:space="0" w:color="auto"/>
              <w:right w:val="single" w:sz="4" w:space="0" w:color="auto"/>
            </w:tcBorders>
          </w:tcPr>
          <w:p w14:paraId="7A70C207" w14:textId="70BA84A3" w:rsidR="00045123" w:rsidRPr="00E04977" w:rsidRDefault="000E4526" w:rsidP="00375B2B">
            <w:pPr>
              <w:jc w:val="center"/>
              <w:rPr>
                <w:rFonts w:asciiTheme="majorHAnsi" w:hAnsiTheme="majorHAnsi" w:cs="Arial"/>
                <w:color w:val="000000"/>
                <w:szCs w:val="22"/>
              </w:rPr>
            </w:pPr>
            <w:r>
              <w:rPr>
                <w:rFonts w:asciiTheme="majorHAnsi" w:hAnsiTheme="majorHAnsi" w:cs="Arial"/>
                <w:color w:val="000000"/>
                <w:szCs w:val="22"/>
              </w:rPr>
              <w:t>10</w:t>
            </w:r>
            <w:r w:rsidR="00E04977" w:rsidRPr="00E04977">
              <w:rPr>
                <w:rFonts w:asciiTheme="majorHAnsi" w:hAnsiTheme="majorHAnsi" w:cs="Arial"/>
                <w:color w:val="000000"/>
                <w:szCs w:val="22"/>
              </w:rPr>
              <w:t xml:space="preserve"> July</w:t>
            </w:r>
            <w:r w:rsidR="00045123" w:rsidRPr="00E04977">
              <w:rPr>
                <w:rFonts w:asciiTheme="majorHAnsi" w:hAnsiTheme="majorHAnsi" w:cs="Arial"/>
                <w:color w:val="000000"/>
                <w:szCs w:val="22"/>
              </w:rPr>
              <w:t xml:space="preserve"> 2026</w:t>
            </w:r>
          </w:p>
          <w:p w14:paraId="21A0A3A9" w14:textId="77777777" w:rsidR="00045123" w:rsidRPr="00E04977" w:rsidRDefault="00045123" w:rsidP="00375B2B">
            <w:pPr>
              <w:jc w:val="center"/>
              <w:rPr>
                <w:rFonts w:asciiTheme="majorHAnsi" w:hAnsiTheme="majorHAnsi" w:cs="Arial"/>
                <w:color w:val="000000"/>
                <w:szCs w:val="22"/>
                <w:highlight w:val="yellow"/>
              </w:rPr>
            </w:pPr>
          </w:p>
          <w:p w14:paraId="2FF723B2" w14:textId="72CD9133" w:rsidR="00045123" w:rsidRPr="00E04977" w:rsidRDefault="00045123" w:rsidP="00375B2B">
            <w:pPr>
              <w:jc w:val="center"/>
              <w:rPr>
                <w:rFonts w:asciiTheme="majorHAnsi" w:hAnsiTheme="majorHAnsi" w:cs="Arial"/>
                <w:b/>
                <w:bCs/>
                <w:color w:val="000000"/>
                <w:szCs w:val="22"/>
                <w:highlight w:val="yellow"/>
              </w:rPr>
            </w:pPr>
          </w:p>
        </w:tc>
      </w:tr>
      <w:tr w:rsidR="00045123" w:rsidRPr="00E04977" w14:paraId="3412D060" w14:textId="77777777" w:rsidTr="00895639">
        <w:trPr>
          <w:trHeight w:val="1710"/>
        </w:trPr>
        <w:tc>
          <w:tcPr>
            <w:tcW w:w="3960" w:type="dxa"/>
            <w:tcBorders>
              <w:top w:val="single" w:sz="4" w:space="0" w:color="auto"/>
              <w:left w:val="single" w:sz="4" w:space="0" w:color="auto"/>
              <w:bottom w:val="single" w:sz="4" w:space="0" w:color="auto"/>
              <w:right w:val="single" w:sz="4" w:space="0" w:color="auto"/>
            </w:tcBorders>
          </w:tcPr>
          <w:p w14:paraId="7F85946D" w14:textId="77777777" w:rsidR="00045123" w:rsidRPr="00E04977" w:rsidRDefault="00045123" w:rsidP="00045123">
            <w:pPr>
              <w:jc w:val="left"/>
              <w:rPr>
                <w:rFonts w:asciiTheme="majorHAnsi" w:hAnsiTheme="majorHAnsi" w:cs="Arial"/>
                <w:color w:val="000000"/>
                <w:szCs w:val="22"/>
              </w:rPr>
            </w:pPr>
          </w:p>
          <w:p w14:paraId="429C04F8" w14:textId="77777777" w:rsidR="00045123" w:rsidRPr="00E04977" w:rsidRDefault="00045123" w:rsidP="00045123">
            <w:pPr>
              <w:jc w:val="left"/>
              <w:rPr>
                <w:rFonts w:asciiTheme="majorHAnsi" w:hAnsiTheme="majorHAnsi" w:cs="Arial"/>
                <w:color w:val="000000"/>
                <w:szCs w:val="22"/>
              </w:rPr>
            </w:pPr>
            <w:r w:rsidRPr="00E04977">
              <w:rPr>
                <w:rFonts w:asciiTheme="majorHAnsi" w:hAnsiTheme="majorHAnsi" w:cstheme="majorBidi"/>
                <w:color w:val="000000" w:themeColor="text1"/>
                <w:szCs w:val="22"/>
              </w:rPr>
              <w:t>Local input to the guidelines for data collection, analysis and reporting</w:t>
            </w:r>
          </w:p>
          <w:p w14:paraId="7677832B" w14:textId="77777777" w:rsidR="00045123" w:rsidRPr="00E04977" w:rsidRDefault="00045123" w:rsidP="00045123">
            <w:pPr>
              <w:jc w:val="left"/>
              <w:rPr>
                <w:rFonts w:asciiTheme="majorHAnsi" w:hAnsiTheme="majorHAnsi" w:cs="Arial"/>
                <w:color w:val="000000"/>
                <w:szCs w:val="22"/>
              </w:rPr>
            </w:pPr>
          </w:p>
          <w:p w14:paraId="61F00A18" w14:textId="77777777" w:rsidR="00045123" w:rsidRPr="00E04977" w:rsidRDefault="00045123" w:rsidP="00045123">
            <w:pPr>
              <w:jc w:val="left"/>
              <w:rPr>
                <w:rFonts w:asciiTheme="majorHAnsi" w:hAnsiTheme="majorHAnsi" w:cs="Arial"/>
                <w:color w:val="000000"/>
                <w:szCs w:val="22"/>
              </w:rPr>
            </w:pPr>
          </w:p>
          <w:p w14:paraId="125C6575" w14:textId="77777777" w:rsidR="00045123" w:rsidRPr="00E04977" w:rsidRDefault="00045123" w:rsidP="00835D72">
            <w:pPr>
              <w:jc w:val="left"/>
              <w:rPr>
                <w:rFonts w:asciiTheme="majorHAnsi" w:hAnsiTheme="majorHAnsi" w:cs="Arial"/>
                <w:color w:val="000000"/>
                <w:szCs w:val="22"/>
              </w:rPr>
            </w:pPr>
          </w:p>
        </w:tc>
        <w:tc>
          <w:tcPr>
            <w:tcW w:w="2250" w:type="dxa"/>
            <w:tcBorders>
              <w:top w:val="single" w:sz="4" w:space="0" w:color="auto"/>
              <w:left w:val="single" w:sz="4" w:space="0" w:color="auto"/>
              <w:bottom w:val="single" w:sz="4" w:space="0" w:color="auto"/>
              <w:right w:val="single" w:sz="4" w:space="0" w:color="auto"/>
            </w:tcBorders>
          </w:tcPr>
          <w:p w14:paraId="78E949AE" w14:textId="77777777" w:rsidR="00045123" w:rsidRPr="00E04977" w:rsidRDefault="00045123" w:rsidP="00045123">
            <w:pPr>
              <w:jc w:val="left"/>
              <w:rPr>
                <w:rFonts w:asciiTheme="majorHAnsi" w:hAnsiTheme="majorHAnsi" w:cs="Arial"/>
                <w:color w:val="000000"/>
                <w:szCs w:val="22"/>
              </w:rPr>
            </w:pPr>
          </w:p>
          <w:p w14:paraId="28BC932C" w14:textId="77777777" w:rsidR="00045123" w:rsidRPr="00E04977" w:rsidRDefault="00045123" w:rsidP="00045123">
            <w:pPr>
              <w:rPr>
                <w:rFonts w:asciiTheme="majorHAnsi" w:hAnsiTheme="majorHAnsi" w:cstheme="majorBidi"/>
                <w:szCs w:val="22"/>
              </w:rPr>
            </w:pPr>
            <w:r w:rsidRPr="00E04977">
              <w:rPr>
                <w:rFonts w:asciiTheme="majorHAnsi" w:hAnsiTheme="majorHAnsi" w:cstheme="majorBidi"/>
                <w:szCs w:val="22"/>
              </w:rPr>
              <w:t>Contribution to the guidelines for data collection practices in the Beneficiary</w:t>
            </w:r>
          </w:p>
          <w:p w14:paraId="7DACE58F" w14:textId="77777777" w:rsidR="00045123" w:rsidRPr="00E04977" w:rsidRDefault="00045123" w:rsidP="00AE542E">
            <w:pPr>
              <w:jc w:val="left"/>
              <w:rPr>
                <w:rFonts w:asciiTheme="majorHAnsi" w:hAnsiTheme="majorHAnsi" w:cs="Arial"/>
                <w:color w:val="000000"/>
                <w:szCs w:val="22"/>
              </w:rPr>
            </w:pPr>
          </w:p>
        </w:tc>
        <w:tc>
          <w:tcPr>
            <w:tcW w:w="2160" w:type="dxa"/>
            <w:vMerge/>
            <w:tcBorders>
              <w:left w:val="single" w:sz="4" w:space="0" w:color="auto"/>
              <w:bottom w:val="single" w:sz="4" w:space="0" w:color="auto"/>
              <w:right w:val="single" w:sz="4" w:space="0" w:color="auto"/>
            </w:tcBorders>
          </w:tcPr>
          <w:p w14:paraId="6CEF97A8" w14:textId="77777777" w:rsidR="00045123" w:rsidRPr="00E04977" w:rsidRDefault="00045123" w:rsidP="00375B2B">
            <w:pPr>
              <w:jc w:val="center"/>
              <w:rPr>
                <w:rFonts w:asciiTheme="majorHAnsi" w:hAnsiTheme="majorHAnsi" w:cs="Arial"/>
                <w:color w:val="000000"/>
                <w:szCs w:val="22"/>
              </w:rPr>
            </w:pPr>
          </w:p>
        </w:tc>
        <w:tc>
          <w:tcPr>
            <w:tcW w:w="1603" w:type="dxa"/>
            <w:vMerge/>
            <w:tcBorders>
              <w:left w:val="single" w:sz="4" w:space="0" w:color="auto"/>
              <w:bottom w:val="single" w:sz="4" w:space="0" w:color="auto"/>
              <w:right w:val="single" w:sz="4" w:space="0" w:color="auto"/>
            </w:tcBorders>
          </w:tcPr>
          <w:p w14:paraId="3E99F9D9" w14:textId="77777777" w:rsidR="00045123" w:rsidRPr="00E04977" w:rsidRDefault="00045123" w:rsidP="00375B2B">
            <w:pPr>
              <w:jc w:val="center"/>
              <w:rPr>
                <w:rFonts w:asciiTheme="majorHAnsi" w:hAnsiTheme="majorHAnsi" w:cs="Arial"/>
                <w:color w:val="000000"/>
                <w:szCs w:val="22"/>
              </w:rPr>
            </w:pPr>
          </w:p>
        </w:tc>
      </w:tr>
      <w:tr w:rsidR="00B07769" w:rsidRPr="00E04977" w14:paraId="415D7300" w14:textId="77777777" w:rsidTr="00045123">
        <w:trPr>
          <w:trHeight w:val="505"/>
        </w:trPr>
        <w:tc>
          <w:tcPr>
            <w:tcW w:w="3960" w:type="dxa"/>
            <w:tcBorders>
              <w:top w:val="single" w:sz="4" w:space="0" w:color="auto"/>
              <w:left w:val="single" w:sz="4" w:space="0" w:color="auto"/>
              <w:bottom w:val="nil"/>
              <w:right w:val="single" w:sz="4" w:space="0" w:color="auto"/>
            </w:tcBorders>
          </w:tcPr>
          <w:p w14:paraId="1B8928C2" w14:textId="2548DB98" w:rsidR="00B07769" w:rsidRPr="00E04977" w:rsidRDefault="00B07769" w:rsidP="00AE542E">
            <w:pPr>
              <w:jc w:val="left"/>
              <w:rPr>
                <w:rFonts w:asciiTheme="majorHAnsi" w:hAnsiTheme="majorHAnsi" w:cs="Arial"/>
                <w:color w:val="000000"/>
                <w:szCs w:val="22"/>
              </w:rPr>
            </w:pPr>
            <w:r w:rsidRPr="00E04977">
              <w:rPr>
                <w:rFonts w:asciiTheme="majorHAnsi" w:hAnsiTheme="majorHAnsi" w:cs="Arial"/>
                <w:color w:val="000000"/>
                <w:szCs w:val="22"/>
              </w:rPr>
              <w:t xml:space="preserve">Consultation and coordination </w:t>
            </w:r>
          </w:p>
          <w:p w14:paraId="082698B0" w14:textId="0882C8A3" w:rsidR="00B07769" w:rsidRPr="00E04977" w:rsidRDefault="00B07769" w:rsidP="00B07769">
            <w:pPr>
              <w:pStyle w:val="ListParagraph"/>
              <w:numPr>
                <w:ilvl w:val="0"/>
                <w:numId w:val="18"/>
              </w:numPr>
              <w:jc w:val="left"/>
              <w:rPr>
                <w:rFonts w:asciiTheme="majorHAnsi" w:hAnsiTheme="majorHAnsi" w:cs="Arial"/>
                <w:color w:val="000000"/>
                <w:szCs w:val="22"/>
              </w:rPr>
            </w:pPr>
            <w:r w:rsidRPr="00E04977">
              <w:rPr>
                <w:rFonts w:asciiTheme="majorHAnsi" w:hAnsiTheme="majorHAnsi" w:cs="Arial"/>
                <w:color w:val="000000"/>
                <w:szCs w:val="22"/>
              </w:rPr>
              <w:t xml:space="preserve">With an expert from partnering Association </w:t>
            </w:r>
            <w:r w:rsidR="0047510C">
              <w:rPr>
                <w:rFonts w:asciiTheme="majorHAnsi" w:hAnsiTheme="majorHAnsi" w:cs="Arial"/>
                <w:color w:val="000000"/>
                <w:szCs w:val="22"/>
              </w:rPr>
              <w:t>RS</w:t>
            </w:r>
            <w:r w:rsidR="000E4526">
              <w:rPr>
                <w:rFonts w:asciiTheme="majorHAnsi" w:hAnsiTheme="majorHAnsi" w:cs="Arial"/>
                <w:color w:val="000000"/>
                <w:szCs w:val="22"/>
              </w:rPr>
              <w:t xml:space="preserve"> and Nalas </w:t>
            </w:r>
          </w:p>
          <w:p w14:paraId="146E18DA" w14:textId="6E670353" w:rsidR="00490415" w:rsidRPr="00E04977" w:rsidRDefault="00B07769" w:rsidP="00490415">
            <w:pPr>
              <w:pStyle w:val="ListParagraph"/>
              <w:numPr>
                <w:ilvl w:val="0"/>
                <w:numId w:val="18"/>
              </w:numPr>
              <w:jc w:val="left"/>
              <w:rPr>
                <w:rFonts w:asciiTheme="majorHAnsi" w:hAnsiTheme="majorHAnsi" w:cs="Arial"/>
                <w:color w:val="000000"/>
                <w:szCs w:val="22"/>
              </w:rPr>
            </w:pPr>
            <w:r w:rsidRPr="00E04977">
              <w:rPr>
                <w:rFonts w:asciiTheme="majorHAnsi" w:hAnsiTheme="majorHAnsi" w:cs="Arial"/>
                <w:color w:val="000000"/>
                <w:szCs w:val="22"/>
              </w:rPr>
              <w:t xml:space="preserve">Representatives of the Association of </w:t>
            </w:r>
            <w:r w:rsidR="0047510C">
              <w:rPr>
                <w:rFonts w:asciiTheme="majorHAnsi" w:hAnsiTheme="majorHAnsi" w:cs="Arial"/>
                <w:color w:val="000000"/>
                <w:szCs w:val="22"/>
              </w:rPr>
              <w:t>RS</w:t>
            </w:r>
            <w:r w:rsidRPr="00E04977">
              <w:rPr>
                <w:rFonts w:asciiTheme="majorHAnsi" w:hAnsiTheme="majorHAnsi" w:cs="Arial"/>
                <w:color w:val="000000"/>
                <w:szCs w:val="22"/>
              </w:rPr>
              <w:t xml:space="preserve"> and </w:t>
            </w:r>
            <w:r w:rsidR="0047510C">
              <w:rPr>
                <w:rFonts w:asciiTheme="majorHAnsi" w:hAnsiTheme="majorHAnsi" w:cs="Arial"/>
                <w:color w:val="000000"/>
                <w:szCs w:val="22"/>
              </w:rPr>
              <w:t>FBiH</w:t>
            </w:r>
          </w:p>
          <w:p w14:paraId="3C9AB38B" w14:textId="7F51F762" w:rsidR="00B07769" w:rsidRPr="00E04977" w:rsidRDefault="00C335C5" w:rsidP="00490415">
            <w:pPr>
              <w:pStyle w:val="ListParagraph"/>
              <w:numPr>
                <w:ilvl w:val="0"/>
                <w:numId w:val="18"/>
              </w:numPr>
              <w:jc w:val="left"/>
              <w:rPr>
                <w:rFonts w:asciiTheme="majorHAnsi" w:hAnsiTheme="majorHAnsi" w:cs="Arial"/>
                <w:color w:val="000000"/>
                <w:szCs w:val="22"/>
              </w:rPr>
            </w:pPr>
            <w:r w:rsidRPr="00E04977">
              <w:rPr>
                <w:rFonts w:asciiTheme="majorHAnsi" w:hAnsiTheme="majorHAnsi" w:cs="Arial"/>
                <w:color w:val="000000"/>
                <w:szCs w:val="22"/>
              </w:rPr>
              <w:t xml:space="preserve">Moderating </w:t>
            </w:r>
            <w:r w:rsidR="00B07769" w:rsidRPr="00E04977">
              <w:rPr>
                <w:rFonts w:asciiTheme="majorHAnsi" w:hAnsiTheme="majorHAnsi" w:cs="Arial"/>
                <w:color w:val="000000"/>
                <w:szCs w:val="22"/>
              </w:rPr>
              <w:t>one Focus group with local representatives (</w:t>
            </w:r>
            <w:r w:rsidRPr="00E04977">
              <w:rPr>
                <w:rFonts w:asciiTheme="majorHAnsi" w:hAnsiTheme="majorHAnsi" w:cs="Arial"/>
                <w:color w:val="000000"/>
                <w:szCs w:val="22"/>
              </w:rPr>
              <w:t>Cities and Municipalities</w:t>
            </w:r>
            <w:r w:rsidR="00B07769" w:rsidRPr="00E04977">
              <w:rPr>
                <w:rFonts w:asciiTheme="majorHAnsi" w:hAnsiTheme="majorHAnsi" w:cs="Arial"/>
                <w:color w:val="000000"/>
                <w:szCs w:val="22"/>
              </w:rPr>
              <w:t xml:space="preserve">) </w:t>
            </w:r>
          </w:p>
        </w:tc>
        <w:tc>
          <w:tcPr>
            <w:tcW w:w="2250" w:type="dxa"/>
            <w:tcBorders>
              <w:top w:val="single" w:sz="4" w:space="0" w:color="auto"/>
              <w:left w:val="single" w:sz="4" w:space="0" w:color="auto"/>
              <w:bottom w:val="nil"/>
              <w:right w:val="single" w:sz="4" w:space="0" w:color="auto"/>
            </w:tcBorders>
          </w:tcPr>
          <w:p w14:paraId="0EF6C8B6" w14:textId="402C4E91" w:rsidR="00E04977" w:rsidRPr="00E04977" w:rsidRDefault="00E04977" w:rsidP="00AE542E">
            <w:pPr>
              <w:jc w:val="left"/>
              <w:rPr>
                <w:rFonts w:asciiTheme="majorHAnsi" w:hAnsiTheme="majorHAnsi" w:cs="Arial"/>
                <w:color w:val="000000"/>
                <w:szCs w:val="22"/>
              </w:rPr>
            </w:pPr>
            <w:r w:rsidRPr="00E04977">
              <w:rPr>
                <w:rFonts w:asciiTheme="majorHAnsi" w:hAnsiTheme="majorHAnsi" w:cs="Arial"/>
                <w:color w:val="000000"/>
                <w:szCs w:val="22"/>
              </w:rPr>
              <w:t xml:space="preserve">Contribution to focus group </w:t>
            </w:r>
            <w:r w:rsidR="00B07769" w:rsidRPr="00E04977">
              <w:rPr>
                <w:rFonts w:asciiTheme="majorHAnsi" w:hAnsiTheme="majorHAnsi" w:cs="Arial"/>
                <w:color w:val="000000"/>
                <w:szCs w:val="22"/>
              </w:rPr>
              <w:t>Contribution to finalization and approval of data</w:t>
            </w:r>
          </w:p>
          <w:p w14:paraId="15E6A84D" w14:textId="11A348CB" w:rsidR="00B07769" w:rsidRPr="00E04977" w:rsidRDefault="00B07769" w:rsidP="00AE542E">
            <w:pPr>
              <w:jc w:val="left"/>
              <w:rPr>
                <w:rFonts w:asciiTheme="majorHAnsi" w:hAnsiTheme="majorHAnsi" w:cs="Arial"/>
                <w:color w:val="000000"/>
                <w:szCs w:val="22"/>
                <w:highlight w:val="yellow"/>
              </w:rPr>
            </w:pPr>
          </w:p>
        </w:tc>
        <w:tc>
          <w:tcPr>
            <w:tcW w:w="2160" w:type="dxa"/>
            <w:tcBorders>
              <w:top w:val="single" w:sz="4" w:space="0" w:color="auto"/>
              <w:left w:val="single" w:sz="4" w:space="0" w:color="auto"/>
              <w:bottom w:val="nil"/>
              <w:right w:val="single" w:sz="4" w:space="0" w:color="auto"/>
            </w:tcBorders>
          </w:tcPr>
          <w:p w14:paraId="564A802F" w14:textId="77777777" w:rsidR="00B07769" w:rsidRPr="00E04977" w:rsidRDefault="00B07769" w:rsidP="00375B2B">
            <w:pPr>
              <w:jc w:val="center"/>
              <w:rPr>
                <w:rFonts w:asciiTheme="majorHAnsi" w:hAnsiTheme="majorHAnsi" w:cs="Arial"/>
                <w:color w:val="000000"/>
                <w:szCs w:val="22"/>
              </w:rPr>
            </w:pPr>
          </w:p>
          <w:p w14:paraId="4CD34C6B" w14:textId="6D895CBA" w:rsidR="00B07769" w:rsidRPr="00E04977" w:rsidRDefault="00B07769" w:rsidP="00375B2B">
            <w:pPr>
              <w:jc w:val="center"/>
              <w:rPr>
                <w:rFonts w:asciiTheme="majorHAnsi" w:hAnsiTheme="majorHAnsi" w:cs="Arial"/>
                <w:color w:val="000000"/>
                <w:szCs w:val="22"/>
              </w:rPr>
            </w:pPr>
            <w:r w:rsidRPr="00E04977">
              <w:rPr>
                <w:rFonts w:asciiTheme="majorHAnsi" w:hAnsiTheme="majorHAnsi" w:cs="Arial"/>
                <w:color w:val="000000"/>
                <w:szCs w:val="22"/>
              </w:rPr>
              <w:t xml:space="preserve">Up to </w:t>
            </w:r>
            <w:r w:rsidR="00577E85" w:rsidRPr="00E04977">
              <w:rPr>
                <w:rFonts w:asciiTheme="majorHAnsi" w:hAnsiTheme="majorHAnsi" w:cs="Arial"/>
                <w:color w:val="000000"/>
                <w:szCs w:val="22"/>
              </w:rPr>
              <w:t>3</w:t>
            </w:r>
            <w:r w:rsidRPr="00E04977">
              <w:rPr>
                <w:rFonts w:asciiTheme="majorHAnsi" w:hAnsiTheme="majorHAnsi" w:cs="Arial"/>
                <w:color w:val="000000"/>
                <w:szCs w:val="22"/>
              </w:rPr>
              <w:t xml:space="preserve"> days </w:t>
            </w:r>
          </w:p>
        </w:tc>
        <w:tc>
          <w:tcPr>
            <w:tcW w:w="1603" w:type="dxa"/>
            <w:tcBorders>
              <w:top w:val="single" w:sz="4" w:space="0" w:color="auto"/>
              <w:left w:val="single" w:sz="4" w:space="0" w:color="auto"/>
              <w:bottom w:val="nil"/>
              <w:right w:val="single" w:sz="4" w:space="0" w:color="auto"/>
            </w:tcBorders>
          </w:tcPr>
          <w:p w14:paraId="285F7E3D" w14:textId="77777777" w:rsidR="00B07769" w:rsidRPr="00E04977" w:rsidRDefault="00B07769" w:rsidP="00375B2B">
            <w:pPr>
              <w:jc w:val="center"/>
              <w:rPr>
                <w:rFonts w:asciiTheme="majorHAnsi" w:hAnsiTheme="majorHAnsi" w:cs="Arial"/>
                <w:color w:val="000000"/>
                <w:szCs w:val="22"/>
              </w:rPr>
            </w:pPr>
          </w:p>
          <w:p w14:paraId="6127726C" w14:textId="1254EACD" w:rsidR="00B07769" w:rsidRPr="00E04977" w:rsidRDefault="00B07769" w:rsidP="00375B2B">
            <w:pPr>
              <w:jc w:val="center"/>
              <w:rPr>
                <w:rFonts w:asciiTheme="majorHAnsi" w:hAnsiTheme="majorHAnsi" w:cs="Arial"/>
                <w:color w:val="000000"/>
                <w:szCs w:val="22"/>
              </w:rPr>
            </w:pPr>
            <w:r w:rsidRPr="00E04977">
              <w:rPr>
                <w:rFonts w:asciiTheme="majorHAnsi" w:hAnsiTheme="majorHAnsi" w:cs="Arial"/>
                <w:color w:val="000000"/>
                <w:szCs w:val="22"/>
              </w:rPr>
              <w:t xml:space="preserve">April 2027 </w:t>
            </w:r>
          </w:p>
        </w:tc>
      </w:tr>
      <w:bookmarkEnd w:id="0"/>
    </w:tbl>
    <w:p w14:paraId="678537AE" w14:textId="77777777" w:rsidR="00A3701F" w:rsidRPr="00A950B0" w:rsidRDefault="00A3701F" w:rsidP="00126B0D">
      <w:pPr>
        <w:pStyle w:val="Heading2"/>
        <w:rPr>
          <w:sz w:val="24"/>
          <w:lang w:val="en-GB"/>
        </w:rPr>
      </w:pPr>
    </w:p>
    <w:p w14:paraId="28B310DE" w14:textId="77777777" w:rsidR="00C526A2" w:rsidRPr="00A950B0" w:rsidRDefault="00C526A2" w:rsidP="00126B0D">
      <w:pPr>
        <w:pStyle w:val="Heading2"/>
        <w:rPr>
          <w:sz w:val="24"/>
          <w:lang w:val="en-GB"/>
        </w:rPr>
      </w:pPr>
    </w:p>
    <w:p w14:paraId="079F465F" w14:textId="6459EEE1" w:rsidR="00FA1B75" w:rsidRPr="00A950B0" w:rsidRDefault="00A436FB" w:rsidP="00126B0D">
      <w:pPr>
        <w:pStyle w:val="Heading2"/>
        <w:rPr>
          <w:sz w:val="24"/>
          <w:lang w:val="en-GB"/>
        </w:rPr>
      </w:pPr>
      <w:r w:rsidRPr="00A950B0">
        <w:rPr>
          <w:sz w:val="24"/>
          <w:lang w:val="en-GB"/>
        </w:rPr>
        <w:t>5</w:t>
      </w:r>
      <w:r w:rsidR="00704F85" w:rsidRPr="00A950B0">
        <w:rPr>
          <w:sz w:val="24"/>
          <w:lang w:val="en-GB"/>
        </w:rPr>
        <w:t xml:space="preserve">. </w:t>
      </w:r>
      <w:r w:rsidR="0094589D" w:rsidRPr="000E4526">
        <w:rPr>
          <w:sz w:val="24"/>
          <w:lang w:val="en-GB"/>
        </w:rPr>
        <w:t>Requirements: Professional qualifications, expertise and experience</w:t>
      </w:r>
      <w:r w:rsidR="00C526A2" w:rsidRPr="00A950B0">
        <w:rPr>
          <w:b w:val="0"/>
          <w:bCs/>
          <w:sz w:val="24"/>
          <w:lang w:val="en-GB"/>
        </w:rPr>
        <w:t xml:space="preserve"> </w:t>
      </w:r>
    </w:p>
    <w:p w14:paraId="07D34B7E" w14:textId="77777777" w:rsidR="00126B0D" w:rsidRPr="00A950B0" w:rsidRDefault="00126B0D" w:rsidP="00126B0D">
      <w:pPr>
        <w:rPr>
          <w:rFonts w:asciiTheme="majorHAnsi" w:hAnsiTheme="majorHAnsi" w:cstheme="minorHAnsi"/>
          <w:sz w:val="24"/>
        </w:rPr>
      </w:pPr>
    </w:p>
    <w:p w14:paraId="2A2F723E" w14:textId="5D20785E" w:rsidR="00331ACD" w:rsidRPr="00A950B0" w:rsidRDefault="00A2762E" w:rsidP="00126B0D">
      <w:pPr>
        <w:rPr>
          <w:rFonts w:asciiTheme="majorHAnsi" w:hAnsiTheme="majorHAnsi" w:cstheme="minorHAnsi"/>
          <w:sz w:val="24"/>
        </w:rPr>
      </w:pPr>
      <w:r w:rsidRPr="00A950B0">
        <w:rPr>
          <w:rFonts w:asciiTheme="majorHAnsi" w:hAnsiTheme="majorHAnsi" w:cstheme="minorHAnsi"/>
          <w:sz w:val="24"/>
        </w:rPr>
        <w:t xml:space="preserve">To qualify as </w:t>
      </w:r>
      <w:r w:rsidR="00FC1891" w:rsidRPr="00A950B0">
        <w:rPr>
          <w:rFonts w:asciiTheme="majorHAnsi" w:hAnsiTheme="majorHAnsi" w:cstheme="minorHAnsi"/>
          <w:sz w:val="24"/>
        </w:rPr>
        <w:t xml:space="preserve">competent </w:t>
      </w:r>
      <w:r w:rsidRPr="00A950B0">
        <w:rPr>
          <w:rFonts w:asciiTheme="majorHAnsi" w:hAnsiTheme="majorHAnsi" w:cstheme="minorHAnsi"/>
          <w:sz w:val="24"/>
        </w:rPr>
        <w:t>of performing the contract</w:t>
      </w:r>
      <w:r w:rsidR="0094589D" w:rsidRPr="00A950B0">
        <w:rPr>
          <w:rFonts w:asciiTheme="majorHAnsi" w:hAnsiTheme="majorHAnsi" w:cstheme="minorHAnsi"/>
          <w:sz w:val="24"/>
        </w:rPr>
        <w:t>, the</w:t>
      </w:r>
      <w:r w:rsidRPr="00A950B0">
        <w:rPr>
          <w:rFonts w:asciiTheme="majorHAnsi" w:hAnsiTheme="majorHAnsi" w:cstheme="minorHAnsi"/>
          <w:sz w:val="24"/>
        </w:rPr>
        <w:t xml:space="preserve"> </w:t>
      </w:r>
      <w:r w:rsidR="007731DD" w:rsidRPr="00A950B0">
        <w:rPr>
          <w:rFonts w:asciiTheme="majorHAnsi" w:hAnsiTheme="majorHAnsi" w:cstheme="minorHAnsi"/>
          <w:sz w:val="24"/>
        </w:rPr>
        <w:t>Local Expert</w:t>
      </w:r>
      <w:r w:rsidRPr="00A950B0">
        <w:rPr>
          <w:rFonts w:asciiTheme="majorHAnsi" w:hAnsiTheme="majorHAnsi" w:cstheme="minorHAnsi"/>
          <w:sz w:val="24"/>
        </w:rPr>
        <w:t xml:space="preserve"> </w:t>
      </w:r>
      <w:r w:rsidR="00C4140C" w:rsidRPr="00A950B0">
        <w:rPr>
          <w:rFonts w:asciiTheme="majorHAnsi" w:hAnsiTheme="majorHAnsi" w:cstheme="minorHAnsi"/>
          <w:sz w:val="24"/>
        </w:rPr>
        <w:t>should</w:t>
      </w:r>
      <w:r w:rsidRPr="00A950B0">
        <w:rPr>
          <w:rFonts w:asciiTheme="majorHAnsi" w:hAnsiTheme="majorHAnsi" w:cstheme="minorHAnsi"/>
          <w:sz w:val="24"/>
        </w:rPr>
        <w:t xml:space="preserve"> meet the following requirements</w:t>
      </w:r>
      <w:r w:rsidR="001228AD" w:rsidRPr="00A950B0">
        <w:rPr>
          <w:rFonts w:asciiTheme="majorHAnsi" w:hAnsiTheme="majorHAnsi" w:cstheme="minorHAnsi"/>
          <w:sz w:val="24"/>
        </w:rPr>
        <w:t>:</w:t>
      </w:r>
    </w:p>
    <w:p w14:paraId="61EB1024" w14:textId="77777777" w:rsidR="000A7131" w:rsidRPr="00A950B0" w:rsidRDefault="000A7131" w:rsidP="00126B0D">
      <w:pPr>
        <w:rPr>
          <w:rFonts w:asciiTheme="majorHAnsi" w:hAnsiTheme="majorHAnsi" w:cstheme="minorHAnsi"/>
          <w:sz w:val="24"/>
        </w:rPr>
      </w:pPr>
    </w:p>
    <w:p w14:paraId="470C827E" w14:textId="33D6D6CF" w:rsidR="00821BCA" w:rsidRPr="00A950B0" w:rsidRDefault="004A31E9" w:rsidP="00C526A2">
      <w:pPr>
        <w:pStyle w:val="ListParagraph"/>
        <w:widowControl w:val="0"/>
        <w:numPr>
          <w:ilvl w:val="0"/>
          <w:numId w:val="30"/>
        </w:numPr>
        <w:ind w:left="720" w:right="287"/>
        <w:rPr>
          <w:rFonts w:asciiTheme="majorHAnsi" w:eastAsia="Arial" w:hAnsiTheme="majorHAnsi" w:cstheme="majorHAnsi"/>
          <w:sz w:val="24"/>
        </w:rPr>
      </w:pPr>
      <w:r w:rsidRPr="00A950B0">
        <w:rPr>
          <w:rFonts w:asciiTheme="majorHAnsi" w:eastAsia="Arial" w:hAnsiTheme="majorHAnsi" w:cstheme="majorHAnsi"/>
          <w:sz w:val="24"/>
        </w:rPr>
        <w:t>Proven e</w:t>
      </w:r>
      <w:r w:rsidR="00821BCA" w:rsidRPr="00A950B0">
        <w:rPr>
          <w:rFonts w:asciiTheme="majorHAnsi" w:eastAsia="Arial" w:hAnsiTheme="majorHAnsi" w:cstheme="majorHAnsi"/>
          <w:sz w:val="24"/>
        </w:rPr>
        <w:t xml:space="preserve">xperience in conducting </w:t>
      </w:r>
      <w:r w:rsidR="0047510C" w:rsidRPr="00A950B0">
        <w:rPr>
          <w:rFonts w:asciiTheme="majorHAnsi" w:eastAsia="Arial" w:hAnsiTheme="majorHAnsi" w:cstheme="majorHAnsi"/>
          <w:sz w:val="24"/>
        </w:rPr>
        <w:t>research</w:t>
      </w:r>
      <w:r w:rsidRPr="00A950B0">
        <w:rPr>
          <w:rFonts w:asciiTheme="majorHAnsi" w:eastAsia="Arial" w:hAnsiTheme="majorHAnsi" w:cstheme="majorHAnsi"/>
          <w:sz w:val="24"/>
        </w:rPr>
        <w:t xml:space="preserve"> </w:t>
      </w:r>
      <w:r w:rsidR="00A3701F" w:rsidRPr="00A950B0">
        <w:rPr>
          <w:rFonts w:asciiTheme="majorHAnsi" w:eastAsia="Arial" w:hAnsiTheme="majorHAnsi" w:cstheme="majorHAnsi"/>
          <w:sz w:val="24"/>
        </w:rPr>
        <w:t>in the field of local government (minimum one is mandatory)</w:t>
      </w:r>
    </w:p>
    <w:p w14:paraId="300B04C2" w14:textId="29D33FB5" w:rsidR="00821BCA" w:rsidRPr="00A950B0" w:rsidRDefault="004A31E9" w:rsidP="00C526A2">
      <w:pPr>
        <w:pStyle w:val="ListParagraph"/>
        <w:widowControl w:val="0"/>
        <w:numPr>
          <w:ilvl w:val="0"/>
          <w:numId w:val="30"/>
        </w:numPr>
        <w:ind w:left="720" w:right="287"/>
        <w:rPr>
          <w:rFonts w:asciiTheme="majorHAnsi" w:eastAsia="Arial" w:hAnsiTheme="majorHAnsi" w:cstheme="majorHAnsi"/>
          <w:sz w:val="24"/>
        </w:rPr>
      </w:pPr>
      <w:r w:rsidRPr="00A950B0">
        <w:rPr>
          <w:rFonts w:asciiTheme="majorHAnsi" w:hAnsiTheme="majorHAnsi" w:cstheme="majorHAnsi"/>
          <w:sz w:val="24"/>
        </w:rPr>
        <w:t xml:space="preserve">At least </w:t>
      </w:r>
      <w:r w:rsidR="009233F7" w:rsidRPr="00A950B0">
        <w:rPr>
          <w:rFonts w:asciiTheme="majorHAnsi" w:hAnsiTheme="majorHAnsi" w:cstheme="majorHAnsi"/>
          <w:sz w:val="24"/>
        </w:rPr>
        <w:t>3</w:t>
      </w:r>
      <w:r w:rsidRPr="00A950B0">
        <w:rPr>
          <w:rFonts w:asciiTheme="majorHAnsi" w:hAnsiTheme="majorHAnsi" w:cstheme="majorHAnsi"/>
          <w:sz w:val="24"/>
        </w:rPr>
        <w:t xml:space="preserve"> years of experience in </w:t>
      </w:r>
      <w:r w:rsidR="00821BCA" w:rsidRPr="00A950B0">
        <w:rPr>
          <w:rFonts w:asciiTheme="majorHAnsi" w:hAnsiTheme="majorHAnsi" w:cstheme="majorHAnsi"/>
          <w:sz w:val="24"/>
        </w:rPr>
        <w:t>the field of local government</w:t>
      </w:r>
    </w:p>
    <w:p w14:paraId="31C2506F" w14:textId="345AAC43" w:rsidR="00821BCA" w:rsidRPr="00A950B0" w:rsidRDefault="00C4140C" w:rsidP="00C526A2">
      <w:pPr>
        <w:pStyle w:val="ListParagraph"/>
        <w:widowControl w:val="0"/>
        <w:numPr>
          <w:ilvl w:val="0"/>
          <w:numId w:val="30"/>
        </w:numPr>
        <w:ind w:left="720" w:right="287"/>
        <w:rPr>
          <w:rFonts w:asciiTheme="majorHAnsi" w:eastAsia="Arial" w:hAnsiTheme="majorHAnsi" w:cstheme="majorHAnsi"/>
          <w:sz w:val="24"/>
        </w:rPr>
      </w:pPr>
      <w:r w:rsidRPr="00A950B0">
        <w:rPr>
          <w:rFonts w:asciiTheme="majorHAnsi" w:hAnsiTheme="majorHAnsi" w:cstheme="majorHAnsi"/>
          <w:sz w:val="24"/>
        </w:rPr>
        <w:t xml:space="preserve">At least </w:t>
      </w:r>
      <w:r w:rsidR="009233F7" w:rsidRPr="00A950B0">
        <w:rPr>
          <w:rFonts w:asciiTheme="majorHAnsi" w:hAnsiTheme="majorHAnsi" w:cstheme="majorHAnsi"/>
          <w:sz w:val="24"/>
        </w:rPr>
        <w:t>2</w:t>
      </w:r>
      <w:r w:rsidRPr="00A950B0">
        <w:rPr>
          <w:rFonts w:asciiTheme="majorHAnsi" w:hAnsiTheme="majorHAnsi" w:cstheme="majorHAnsi"/>
          <w:sz w:val="24"/>
        </w:rPr>
        <w:t xml:space="preserve"> years </w:t>
      </w:r>
      <w:r w:rsidR="00E51AB3" w:rsidRPr="00A950B0">
        <w:rPr>
          <w:rFonts w:asciiTheme="majorHAnsi" w:hAnsiTheme="majorHAnsi" w:cstheme="majorHAnsi"/>
          <w:sz w:val="24"/>
        </w:rPr>
        <w:t xml:space="preserve">of </w:t>
      </w:r>
      <w:r w:rsidR="00821BCA" w:rsidRPr="00A950B0">
        <w:rPr>
          <w:rFonts w:asciiTheme="majorHAnsi" w:hAnsiTheme="majorHAnsi" w:cstheme="majorHAnsi"/>
          <w:sz w:val="24"/>
        </w:rPr>
        <w:t>experience in EU relations and EU integration</w:t>
      </w:r>
    </w:p>
    <w:p w14:paraId="07AD48A8" w14:textId="581F7CA5" w:rsidR="00821BCA" w:rsidRPr="00A950B0" w:rsidRDefault="002C03F4" w:rsidP="00C526A2">
      <w:pPr>
        <w:pStyle w:val="ListParagraph"/>
        <w:widowControl w:val="0"/>
        <w:numPr>
          <w:ilvl w:val="0"/>
          <w:numId w:val="30"/>
        </w:numPr>
        <w:ind w:left="720" w:right="287"/>
        <w:rPr>
          <w:rFonts w:asciiTheme="majorHAnsi" w:eastAsia="Arial" w:hAnsiTheme="majorHAnsi" w:cstheme="majorHAnsi"/>
          <w:sz w:val="24"/>
        </w:rPr>
      </w:pPr>
      <w:r w:rsidRPr="00A950B0">
        <w:rPr>
          <w:rFonts w:asciiTheme="majorHAnsi" w:eastAsia="Arial" w:hAnsiTheme="majorHAnsi" w:cstheme="majorHAnsi"/>
          <w:sz w:val="24"/>
        </w:rPr>
        <w:t>Good working knowledge</w:t>
      </w:r>
      <w:r w:rsidR="00C4140C" w:rsidRPr="00A950B0">
        <w:rPr>
          <w:rFonts w:asciiTheme="majorHAnsi" w:hAnsiTheme="majorHAnsi" w:cstheme="majorHAnsi"/>
          <w:sz w:val="24"/>
        </w:rPr>
        <w:t xml:space="preserve"> of English</w:t>
      </w:r>
      <w:r w:rsidR="009233F7" w:rsidRPr="00A950B0">
        <w:rPr>
          <w:rFonts w:asciiTheme="majorHAnsi" w:hAnsiTheme="majorHAnsi" w:cstheme="majorHAnsi"/>
          <w:sz w:val="24"/>
        </w:rPr>
        <w:t xml:space="preserve"> language</w:t>
      </w:r>
    </w:p>
    <w:p w14:paraId="49D2386B" w14:textId="77777777" w:rsidR="00C526A2" w:rsidRPr="00A950B0" w:rsidRDefault="00C526A2" w:rsidP="00C526A2">
      <w:pPr>
        <w:widowControl w:val="0"/>
        <w:ind w:right="287"/>
        <w:rPr>
          <w:rFonts w:asciiTheme="majorHAnsi" w:eastAsia="Arial" w:hAnsiTheme="majorHAnsi" w:cstheme="majorHAnsi"/>
          <w:b/>
          <w:bCs/>
          <w:sz w:val="24"/>
        </w:rPr>
      </w:pPr>
    </w:p>
    <w:p w14:paraId="0D48FB92" w14:textId="7C29A603" w:rsidR="00C526A2" w:rsidRPr="00D57337" w:rsidRDefault="00C526A2" w:rsidP="00C526A2">
      <w:pPr>
        <w:widowControl w:val="0"/>
        <w:ind w:right="287"/>
        <w:rPr>
          <w:rFonts w:asciiTheme="majorHAnsi" w:eastAsia="Arial" w:hAnsiTheme="majorHAnsi" w:cstheme="majorHAnsi"/>
          <w:sz w:val="24"/>
          <w:lang w:val="de-DE"/>
        </w:rPr>
      </w:pPr>
    </w:p>
    <w:p w14:paraId="16B5E17D" w14:textId="77777777" w:rsidR="00A3701F" w:rsidRPr="00D57337" w:rsidRDefault="00A3701F" w:rsidP="00A3701F">
      <w:pPr>
        <w:pStyle w:val="ListParagraph"/>
        <w:widowControl w:val="0"/>
        <w:ind w:right="287"/>
        <w:rPr>
          <w:i/>
          <w:iCs/>
          <w:sz w:val="24"/>
          <w:lang w:val="de-DE"/>
        </w:rPr>
      </w:pPr>
    </w:p>
    <w:p w14:paraId="5E33A2B5" w14:textId="7E21A2F4" w:rsidR="00821BCA" w:rsidRPr="000E4526" w:rsidRDefault="00821BCA" w:rsidP="00821BCA">
      <w:pPr>
        <w:pStyle w:val="Heading2"/>
        <w:rPr>
          <w:sz w:val="24"/>
          <w:lang w:val="en-GB"/>
        </w:rPr>
      </w:pPr>
      <w:r w:rsidRPr="000E4526">
        <w:rPr>
          <w:sz w:val="24"/>
          <w:lang w:val="en-GB"/>
        </w:rPr>
        <w:t>Proposal submission</w:t>
      </w:r>
      <w:r w:rsidR="00C526A2" w:rsidRPr="000E4526">
        <w:rPr>
          <w:sz w:val="24"/>
          <w:lang w:val="en-GB"/>
        </w:rPr>
        <w:t xml:space="preserve"> </w:t>
      </w:r>
    </w:p>
    <w:p w14:paraId="7DF5E99E" w14:textId="77777777" w:rsidR="00821BCA" w:rsidRPr="00A950B0" w:rsidRDefault="00821BCA" w:rsidP="00821BCA">
      <w:pPr>
        <w:rPr>
          <w:sz w:val="24"/>
        </w:rPr>
      </w:pPr>
    </w:p>
    <w:p w14:paraId="5E1059DE" w14:textId="6E5E14CC" w:rsidR="00821BCA" w:rsidRPr="00A950B0" w:rsidRDefault="00821BCA" w:rsidP="00821BCA">
      <w:pPr>
        <w:rPr>
          <w:sz w:val="24"/>
        </w:rPr>
      </w:pPr>
      <w:r w:rsidRPr="00A950B0">
        <w:rPr>
          <w:sz w:val="24"/>
        </w:rPr>
        <w:t>The proposal submitted by the Local Expert shall include the following elements:</w:t>
      </w:r>
    </w:p>
    <w:p w14:paraId="34548313" w14:textId="77777777" w:rsidR="00821BCA" w:rsidRPr="00D57337" w:rsidRDefault="00821BCA" w:rsidP="00821BCA">
      <w:pPr>
        <w:rPr>
          <w:sz w:val="24"/>
          <w:lang w:val="de-DE"/>
        </w:rPr>
      </w:pPr>
    </w:p>
    <w:p w14:paraId="2935392F" w14:textId="77777777" w:rsidR="00821BCA" w:rsidRPr="00A950B0" w:rsidRDefault="00821BCA" w:rsidP="00821BCA">
      <w:pPr>
        <w:rPr>
          <w:i/>
          <w:sz w:val="24"/>
        </w:rPr>
      </w:pPr>
      <w:r w:rsidRPr="00A950B0">
        <w:rPr>
          <w:bCs/>
          <w:i/>
          <w:sz w:val="24"/>
        </w:rPr>
        <w:t xml:space="preserve">Technical Offer: </w:t>
      </w:r>
    </w:p>
    <w:p w14:paraId="79DF8C46" w14:textId="6AF73C54" w:rsidR="00821BCA" w:rsidRPr="00A950B0" w:rsidRDefault="00821BCA" w:rsidP="00821BCA">
      <w:pPr>
        <w:pStyle w:val="ListParagraph"/>
        <w:numPr>
          <w:ilvl w:val="0"/>
          <w:numId w:val="2"/>
        </w:numPr>
        <w:rPr>
          <w:sz w:val="24"/>
        </w:rPr>
      </w:pPr>
      <w:r w:rsidRPr="00A950B0">
        <w:rPr>
          <w:sz w:val="24"/>
        </w:rPr>
        <w:t xml:space="preserve">Cover Letter, explaining Local Expert’ suitability for the assignment, as specified in this </w:t>
      </w:r>
      <w:r w:rsidR="00577E85" w:rsidRPr="00A950B0">
        <w:rPr>
          <w:sz w:val="24"/>
        </w:rPr>
        <w:t>Tor</w:t>
      </w:r>
      <w:r w:rsidRPr="00A950B0">
        <w:rPr>
          <w:sz w:val="24"/>
        </w:rPr>
        <w:t>;</w:t>
      </w:r>
    </w:p>
    <w:p w14:paraId="48C34A86" w14:textId="256234DB" w:rsidR="006628C0" w:rsidRPr="00A950B0" w:rsidRDefault="00821BCA" w:rsidP="0022712C">
      <w:pPr>
        <w:pStyle w:val="ListParagraph"/>
        <w:numPr>
          <w:ilvl w:val="0"/>
          <w:numId w:val="2"/>
        </w:numPr>
        <w:rPr>
          <w:sz w:val="24"/>
        </w:rPr>
      </w:pPr>
      <w:r w:rsidRPr="00A950B0">
        <w:rPr>
          <w:sz w:val="24"/>
        </w:rPr>
        <w:t xml:space="preserve">Proposed </w:t>
      </w:r>
      <w:r w:rsidR="006628C0" w:rsidRPr="00A950B0">
        <w:rPr>
          <w:sz w:val="24"/>
        </w:rPr>
        <w:t>Work approach and work plan</w:t>
      </w:r>
      <w:r w:rsidR="00D21FC5" w:rsidRPr="00A950B0">
        <w:rPr>
          <w:sz w:val="24"/>
        </w:rPr>
        <w:t>, explaining the focus, the idea is you see how the expert will approach the task, especially considering the limited timeframe;</w:t>
      </w:r>
    </w:p>
    <w:p w14:paraId="63670844" w14:textId="716D34B9" w:rsidR="00821BCA" w:rsidRPr="00D16044" w:rsidRDefault="00821BCA" w:rsidP="00821BCA">
      <w:pPr>
        <w:pStyle w:val="ListParagraph"/>
        <w:numPr>
          <w:ilvl w:val="0"/>
          <w:numId w:val="2"/>
        </w:numPr>
        <w:rPr>
          <w:sz w:val="24"/>
        </w:rPr>
      </w:pPr>
      <w:r w:rsidRPr="00D16044">
        <w:rPr>
          <w:sz w:val="24"/>
        </w:rPr>
        <w:t xml:space="preserve">Detail CV of the applicant. </w:t>
      </w:r>
      <w:r w:rsidR="00D16044" w:rsidRPr="00D16044">
        <w:rPr>
          <w:sz w:val="24"/>
        </w:rPr>
        <w:t>The CV shall clearly demonstrate how the applicant meets the criteria stated above</w:t>
      </w:r>
    </w:p>
    <w:p w14:paraId="17B896A2" w14:textId="77777777" w:rsidR="00C526A2" w:rsidRPr="00A950B0" w:rsidRDefault="00C526A2" w:rsidP="00C526A2">
      <w:pPr>
        <w:rPr>
          <w:i/>
          <w:iCs/>
          <w:sz w:val="24"/>
        </w:rPr>
      </w:pPr>
    </w:p>
    <w:p w14:paraId="39D7E3FF" w14:textId="77777777" w:rsidR="00AE542E" w:rsidRPr="00A950B0" w:rsidRDefault="00AE542E" w:rsidP="00C526A2">
      <w:pPr>
        <w:rPr>
          <w:b/>
          <w:bCs/>
          <w:sz w:val="24"/>
        </w:rPr>
      </w:pPr>
    </w:p>
    <w:p w14:paraId="0052CF55" w14:textId="77777777" w:rsidR="00C526A2" w:rsidRPr="00962296" w:rsidRDefault="00C526A2" w:rsidP="00C526A2">
      <w:pPr>
        <w:rPr>
          <w:sz w:val="24"/>
          <w:lang w:val="de-DE"/>
        </w:rPr>
      </w:pPr>
    </w:p>
    <w:p w14:paraId="74BDB9AA" w14:textId="77777777" w:rsidR="00821BCA" w:rsidRPr="00A950B0" w:rsidRDefault="00821BCA" w:rsidP="00821BCA">
      <w:pPr>
        <w:pStyle w:val="Default"/>
        <w:rPr>
          <w:i/>
          <w:color w:val="auto"/>
          <w:lang w:val="en-GB"/>
        </w:rPr>
      </w:pPr>
      <w:r w:rsidRPr="00A950B0">
        <w:rPr>
          <w:bCs/>
          <w:i/>
          <w:color w:val="auto"/>
          <w:lang w:val="en-GB"/>
        </w:rPr>
        <w:t xml:space="preserve">Financial Offer: </w:t>
      </w:r>
    </w:p>
    <w:p w14:paraId="2D8893FD" w14:textId="77777777" w:rsidR="00821BCA" w:rsidRPr="00A950B0" w:rsidRDefault="00821BCA" w:rsidP="00821BCA">
      <w:pPr>
        <w:pStyle w:val="ListParagraph"/>
        <w:numPr>
          <w:ilvl w:val="0"/>
          <w:numId w:val="2"/>
        </w:numPr>
        <w:rPr>
          <w:sz w:val="24"/>
        </w:rPr>
      </w:pPr>
      <w:r w:rsidRPr="00A950B0">
        <w:rPr>
          <w:sz w:val="24"/>
        </w:rPr>
        <w:t>Financial offer, per activity and relevant deliverables, specifying total amount, based on the table below:</w:t>
      </w:r>
    </w:p>
    <w:p w14:paraId="474919AE" w14:textId="77777777" w:rsidR="00821BCA" w:rsidRPr="00A950B0" w:rsidRDefault="00821BCA" w:rsidP="00821BCA">
      <w:pPr>
        <w:rPr>
          <w:sz w:val="24"/>
        </w:rPr>
      </w:pPr>
    </w:p>
    <w:tbl>
      <w:tblPr>
        <w:tblStyle w:val="TableGrid"/>
        <w:tblW w:w="9356" w:type="dxa"/>
        <w:jc w:val="center"/>
        <w:tblLook w:val="04A0" w:firstRow="1" w:lastRow="0" w:firstColumn="1" w:lastColumn="0" w:noHBand="0" w:noVBand="1"/>
      </w:tblPr>
      <w:tblGrid>
        <w:gridCol w:w="7230"/>
        <w:gridCol w:w="2126"/>
      </w:tblGrid>
      <w:tr w:rsidR="00C526A2" w:rsidRPr="00A950B0" w14:paraId="579602F1" w14:textId="77777777" w:rsidTr="00B83A76">
        <w:trPr>
          <w:trHeight w:val="253"/>
          <w:jc w:val="center"/>
        </w:trPr>
        <w:tc>
          <w:tcPr>
            <w:tcW w:w="7230" w:type="dxa"/>
            <w:vAlign w:val="center"/>
          </w:tcPr>
          <w:p w14:paraId="576570F2" w14:textId="0CCDFF46" w:rsidR="00C526A2" w:rsidRPr="00A950B0" w:rsidRDefault="00C526A2" w:rsidP="00C526A2">
            <w:pPr>
              <w:jc w:val="center"/>
              <w:rPr>
                <w:rFonts w:asciiTheme="majorHAnsi" w:hAnsiTheme="majorHAnsi" w:cs="Arial"/>
                <w:b/>
                <w:bCs/>
                <w:color w:val="000000"/>
                <w:sz w:val="24"/>
              </w:rPr>
            </w:pPr>
            <w:r w:rsidRPr="00A950B0">
              <w:rPr>
                <w:rFonts w:asciiTheme="majorHAnsi" w:hAnsiTheme="majorHAnsi" w:cs="Arial"/>
                <w:color w:val="000000"/>
                <w:sz w:val="24"/>
              </w:rPr>
              <w:t>Deliverables</w:t>
            </w:r>
            <w:r w:rsidRPr="00A950B0">
              <w:rPr>
                <w:rFonts w:asciiTheme="majorHAnsi" w:hAnsiTheme="majorHAnsi" w:cs="Arial"/>
                <w:b/>
                <w:bCs/>
                <w:color w:val="000000"/>
                <w:sz w:val="24"/>
              </w:rPr>
              <w:t xml:space="preserve"> </w:t>
            </w:r>
          </w:p>
        </w:tc>
        <w:tc>
          <w:tcPr>
            <w:tcW w:w="2126" w:type="dxa"/>
            <w:vAlign w:val="center"/>
          </w:tcPr>
          <w:p w14:paraId="69AAC6B5" w14:textId="2ABF6D39" w:rsidR="00C526A2" w:rsidRPr="00A950B0" w:rsidRDefault="00C526A2" w:rsidP="00C526A2">
            <w:pPr>
              <w:jc w:val="center"/>
              <w:rPr>
                <w:rFonts w:asciiTheme="majorHAnsi" w:hAnsiTheme="majorHAnsi" w:cs="Arial"/>
                <w:b/>
                <w:bCs/>
                <w:color w:val="000000"/>
                <w:sz w:val="24"/>
              </w:rPr>
            </w:pPr>
            <w:r w:rsidRPr="00A950B0">
              <w:rPr>
                <w:rFonts w:asciiTheme="majorHAnsi" w:hAnsiTheme="majorHAnsi" w:cs="Arial"/>
                <w:color w:val="000000"/>
                <w:sz w:val="24"/>
              </w:rPr>
              <w:t xml:space="preserve">Amount </w:t>
            </w:r>
            <w:r w:rsidR="00D57337">
              <w:rPr>
                <w:rFonts w:asciiTheme="majorHAnsi" w:hAnsiTheme="majorHAnsi" w:cs="Arial"/>
                <w:color w:val="000000"/>
                <w:sz w:val="24"/>
              </w:rPr>
              <w:t>BAM</w:t>
            </w:r>
            <w:r w:rsidRPr="00A950B0">
              <w:rPr>
                <w:rFonts w:asciiTheme="majorHAnsi" w:hAnsiTheme="majorHAnsi" w:cs="Arial"/>
                <w:b/>
                <w:bCs/>
                <w:color w:val="000000"/>
                <w:sz w:val="24"/>
              </w:rPr>
              <w:t xml:space="preserve"> / </w:t>
            </w:r>
          </w:p>
        </w:tc>
      </w:tr>
      <w:tr w:rsidR="00C526A2" w:rsidRPr="00A950B0" w14:paraId="44546193" w14:textId="77777777" w:rsidTr="00046D56">
        <w:trPr>
          <w:trHeight w:val="518"/>
          <w:jc w:val="center"/>
        </w:trPr>
        <w:tc>
          <w:tcPr>
            <w:tcW w:w="7230" w:type="dxa"/>
          </w:tcPr>
          <w:p w14:paraId="4A8C7D9B" w14:textId="77777777" w:rsidR="00C526A2" w:rsidRPr="00A950B0" w:rsidRDefault="00C526A2" w:rsidP="00C526A2">
            <w:pPr>
              <w:rPr>
                <w:rFonts w:asciiTheme="majorHAnsi" w:hAnsiTheme="majorHAnsi" w:cstheme="majorBidi"/>
                <w:sz w:val="24"/>
              </w:rPr>
            </w:pPr>
            <w:r w:rsidRPr="00A950B0">
              <w:rPr>
                <w:rFonts w:asciiTheme="majorHAnsi" w:hAnsiTheme="majorHAnsi" w:cstheme="majorBidi"/>
                <w:sz w:val="24"/>
              </w:rPr>
              <w:t xml:space="preserve">Contribution to the conduct of the baseline study </w:t>
            </w:r>
          </w:p>
          <w:p w14:paraId="5F1FDB94" w14:textId="77777777" w:rsidR="00C526A2" w:rsidRPr="00A950B0" w:rsidRDefault="00C526A2" w:rsidP="00490415">
            <w:pPr>
              <w:rPr>
                <w:rFonts w:asciiTheme="majorHAnsi" w:hAnsiTheme="majorHAnsi" w:cstheme="majorBidi"/>
                <w:sz w:val="24"/>
              </w:rPr>
            </w:pPr>
          </w:p>
        </w:tc>
        <w:tc>
          <w:tcPr>
            <w:tcW w:w="2126" w:type="dxa"/>
          </w:tcPr>
          <w:p w14:paraId="64379B79" w14:textId="77777777" w:rsidR="00C526A2" w:rsidRPr="00AE542E" w:rsidRDefault="00C526A2" w:rsidP="00AE542E">
            <w:pPr>
              <w:jc w:val="center"/>
              <w:rPr>
                <w:rFonts w:asciiTheme="majorHAnsi" w:hAnsiTheme="majorHAnsi" w:cs="Arial"/>
                <w:color w:val="000000"/>
                <w:sz w:val="24"/>
                <w:highlight w:val="yellow"/>
              </w:rPr>
            </w:pPr>
            <w:r w:rsidRPr="00AE542E">
              <w:rPr>
                <w:rFonts w:asciiTheme="majorHAnsi" w:hAnsiTheme="majorHAnsi" w:cs="Arial"/>
                <w:color w:val="000000"/>
                <w:sz w:val="24"/>
                <w:highlight w:val="yellow"/>
              </w:rPr>
              <w:t>x</w:t>
            </w:r>
          </w:p>
        </w:tc>
      </w:tr>
      <w:tr w:rsidR="00C526A2" w:rsidRPr="00A950B0" w14:paraId="5B06FF37" w14:textId="77777777" w:rsidTr="00212784">
        <w:trPr>
          <w:trHeight w:val="518"/>
          <w:jc w:val="center"/>
        </w:trPr>
        <w:tc>
          <w:tcPr>
            <w:tcW w:w="7230" w:type="dxa"/>
          </w:tcPr>
          <w:p w14:paraId="55978E28" w14:textId="65E0FF6F" w:rsidR="00C526A2" w:rsidRDefault="00C526A2" w:rsidP="00C526A2">
            <w:pPr>
              <w:rPr>
                <w:rFonts w:asciiTheme="majorHAnsi" w:hAnsiTheme="majorHAnsi" w:cs="Arial"/>
                <w:color w:val="000000"/>
                <w:sz w:val="24"/>
              </w:rPr>
            </w:pPr>
            <w:r w:rsidRPr="00A950B0">
              <w:rPr>
                <w:rFonts w:asciiTheme="majorHAnsi" w:hAnsiTheme="majorHAnsi" w:cs="Arial"/>
                <w:color w:val="000000"/>
                <w:sz w:val="24"/>
              </w:rPr>
              <w:t xml:space="preserve">Contribution to the definition of monitoring indicators </w:t>
            </w:r>
          </w:p>
          <w:p w14:paraId="023038D2" w14:textId="77777777" w:rsidR="000E4526" w:rsidRPr="00E04977" w:rsidRDefault="000E4526" w:rsidP="000E4526">
            <w:pPr>
              <w:rPr>
                <w:rFonts w:asciiTheme="majorHAnsi" w:hAnsiTheme="majorHAnsi" w:cstheme="majorBidi"/>
                <w:szCs w:val="22"/>
              </w:rPr>
            </w:pPr>
            <w:r w:rsidRPr="00E04977">
              <w:rPr>
                <w:rFonts w:asciiTheme="majorHAnsi" w:hAnsiTheme="majorHAnsi" w:cstheme="majorBidi"/>
                <w:szCs w:val="22"/>
              </w:rPr>
              <w:t>Contribution to the guidelines for data collection practices in the Beneficiary</w:t>
            </w:r>
          </w:p>
          <w:p w14:paraId="11C0135E" w14:textId="61C5BCC9" w:rsidR="00C526A2" w:rsidRPr="00A950B0" w:rsidRDefault="00C526A2" w:rsidP="00C526A2">
            <w:pPr>
              <w:rPr>
                <w:rFonts w:asciiTheme="majorHAnsi" w:hAnsiTheme="majorHAnsi" w:cs="Arial"/>
                <w:color w:val="000000"/>
                <w:sz w:val="24"/>
              </w:rPr>
            </w:pPr>
          </w:p>
        </w:tc>
        <w:tc>
          <w:tcPr>
            <w:tcW w:w="2126" w:type="dxa"/>
          </w:tcPr>
          <w:p w14:paraId="10B3C130" w14:textId="77777777" w:rsidR="00C526A2" w:rsidRPr="00AE542E" w:rsidRDefault="00C526A2" w:rsidP="00AE542E">
            <w:pPr>
              <w:jc w:val="center"/>
              <w:rPr>
                <w:rFonts w:asciiTheme="majorHAnsi" w:hAnsiTheme="majorHAnsi" w:cs="Arial"/>
                <w:color w:val="000000"/>
                <w:sz w:val="24"/>
                <w:highlight w:val="yellow"/>
              </w:rPr>
            </w:pPr>
            <w:r w:rsidRPr="00AE542E">
              <w:rPr>
                <w:rFonts w:asciiTheme="majorHAnsi" w:hAnsiTheme="majorHAnsi" w:cs="Arial"/>
                <w:color w:val="000000"/>
                <w:sz w:val="24"/>
                <w:highlight w:val="yellow"/>
              </w:rPr>
              <w:t>x</w:t>
            </w:r>
          </w:p>
        </w:tc>
      </w:tr>
      <w:tr w:rsidR="00490415" w:rsidRPr="00A950B0" w14:paraId="1CDAC496" w14:textId="77777777" w:rsidTr="00490415">
        <w:trPr>
          <w:trHeight w:val="660"/>
          <w:jc w:val="center"/>
        </w:trPr>
        <w:tc>
          <w:tcPr>
            <w:tcW w:w="7230" w:type="dxa"/>
          </w:tcPr>
          <w:p w14:paraId="0DBA1715" w14:textId="5A434548" w:rsidR="00490415" w:rsidRPr="00A950B0" w:rsidRDefault="00490415" w:rsidP="00C526A2">
            <w:pPr>
              <w:rPr>
                <w:rFonts w:asciiTheme="majorHAnsi" w:hAnsiTheme="majorHAnsi" w:cstheme="majorBidi"/>
                <w:sz w:val="24"/>
              </w:rPr>
            </w:pPr>
            <w:r>
              <w:rPr>
                <w:rFonts w:asciiTheme="majorHAnsi" w:hAnsiTheme="majorHAnsi" w:cstheme="majorBidi"/>
                <w:sz w:val="24"/>
              </w:rPr>
              <w:t xml:space="preserve">Consultation and coordination </w:t>
            </w:r>
          </w:p>
        </w:tc>
        <w:tc>
          <w:tcPr>
            <w:tcW w:w="2126" w:type="dxa"/>
          </w:tcPr>
          <w:p w14:paraId="73EE8157" w14:textId="77777777" w:rsidR="00490415" w:rsidRDefault="00490415" w:rsidP="00AE542E">
            <w:pPr>
              <w:jc w:val="center"/>
              <w:rPr>
                <w:rFonts w:asciiTheme="majorHAnsi" w:hAnsiTheme="majorHAnsi" w:cs="Arial"/>
                <w:b/>
                <w:bCs/>
                <w:color w:val="000000"/>
                <w:sz w:val="24"/>
                <w:highlight w:val="yellow"/>
              </w:rPr>
            </w:pPr>
          </w:p>
          <w:p w14:paraId="3714324F" w14:textId="1FE4E204" w:rsidR="00490415" w:rsidRPr="00AE542E" w:rsidRDefault="00490415" w:rsidP="00AE542E">
            <w:pPr>
              <w:jc w:val="center"/>
              <w:rPr>
                <w:rFonts w:asciiTheme="majorHAnsi" w:hAnsiTheme="majorHAnsi" w:cs="Arial"/>
                <w:b/>
                <w:bCs/>
                <w:color w:val="000000"/>
                <w:sz w:val="24"/>
                <w:highlight w:val="yellow"/>
              </w:rPr>
            </w:pPr>
            <w:r>
              <w:rPr>
                <w:rFonts w:asciiTheme="majorHAnsi" w:hAnsiTheme="majorHAnsi" w:cs="Arial"/>
                <w:b/>
                <w:bCs/>
                <w:color w:val="000000"/>
                <w:sz w:val="24"/>
                <w:highlight w:val="yellow"/>
              </w:rPr>
              <w:t>X</w:t>
            </w:r>
          </w:p>
        </w:tc>
      </w:tr>
      <w:tr w:rsidR="00821BCA" w:rsidRPr="00A950B0" w14:paraId="63EB1339" w14:textId="77777777" w:rsidTr="00490415">
        <w:trPr>
          <w:trHeight w:val="633"/>
          <w:jc w:val="center"/>
        </w:trPr>
        <w:tc>
          <w:tcPr>
            <w:tcW w:w="7230" w:type="dxa"/>
          </w:tcPr>
          <w:p w14:paraId="223EE34C" w14:textId="77777777" w:rsidR="00C526A2" w:rsidRPr="00A950B0" w:rsidRDefault="00C526A2" w:rsidP="00C526A2">
            <w:pPr>
              <w:rPr>
                <w:rFonts w:asciiTheme="majorHAnsi" w:hAnsiTheme="majorHAnsi" w:cstheme="majorBidi"/>
                <w:sz w:val="24"/>
              </w:rPr>
            </w:pPr>
          </w:p>
          <w:p w14:paraId="5BEBFA1C" w14:textId="55C6D28E" w:rsidR="00821BCA" w:rsidRPr="00A950B0" w:rsidRDefault="00821BCA" w:rsidP="00C526A2">
            <w:pPr>
              <w:rPr>
                <w:rFonts w:asciiTheme="majorHAnsi" w:hAnsiTheme="majorHAnsi" w:cstheme="majorBidi"/>
                <w:b/>
                <w:bCs/>
                <w:sz w:val="24"/>
              </w:rPr>
            </w:pPr>
            <w:r w:rsidRPr="00A950B0">
              <w:rPr>
                <w:rFonts w:asciiTheme="majorHAnsi" w:hAnsiTheme="majorHAnsi" w:cstheme="majorBidi"/>
                <w:sz w:val="24"/>
              </w:rPr>
              <w:t>Total</w:t>
            </w:r>
            <w:r w:rsidR="00C526A2" w:rsidRPr="00A950B0">
              <w:rPr>
                <w:rFonts w:asciiTheme="majorHAnsi" w:hAnsiTheme="majorHAnsi" w:cstheme="majorBidi"/>
                <w:sz w:val="24"/>
              </w:rPr>
              <w:t xml:space="preserve"> gross</w:t>
            </w:r>
            <w:r w:rsidR="00C526A2" w:rsidRPr="00A950B0">
              <w:rPr>
                <w:rFonts w:asciiTheme="majorHAnsi" w:hAnsiTheme="majorHAnsi" w:cstheme="majorBidi"/>
                <w:b/>
                <w:bCs/>
                <w:sz w:val="24"/>
              </w:rPr>
              <w:t xml:space="preserve"> / </w:t>
            </w:r>
          </w:p>
        </w:tc>
        <w:tc>
          <w:tcPr>
            <w:tcW w:w="2126" w:type="dxa"/>
          </w:tcPr>
          <w:p w14:paraId="06E6EBA7" w14:textId="77777777" w:rsidR="00821BCA" w:rsidRPr="00AE542E" w:rsidRDefault="00821BCA" w:rsidP="00AE542E">
            <w:pPr>
              <w:jc w:val="center"/>
              <w:rPr>
                <w:rFonts w:asciiTheme="majorHAnsi" w:hAnsiTheme="majorHAnsi" w:cs="Arial"/>
                <w:b/>
                <w:bCs/>
                <w:color w:val="000000"/>
                <w:sz w:val="24"/>
                <w:highlight w:val="yellow"/>
              </w:rPr>
            </w:pPr>
            <w:r w:rsidRPr="00AE542E">
              <w:rPr>
                <w:rFonts w:asciiTheme="majorHAnsi" w:hAnsiTheme="majorHAnsi" w:cs="Arial"/>
                <w:b/>
                <w:bCs/>
                <w:color w:val="000000"/>
                <w:sz w:val="24"/>
                <w:highlight w:val="yellow"/>
              </w:rPr>
              <w:t>X</w:t>
            </w:r>
          </w:p>
        </w:tc>
      </w:tr>
    </w:tbl>
    <w:p w14:paraId="4C4D5C54" w14:textId="77777777" w:rsidR="00821BCA" w:rsidRPr="00A950B0" w:rsidRDefault="00821BCA" w:rsidP="00821BCA">
      <w:pPr>
        <w:rPr>
          <w:sz w:val="24"/>
        </w:rPr>
      </w:pPr>
    </w:p>
    <w:p w14:paraId="4EDBEE90" w14:textId="77777777" w:rsidR="00821BCA" w:rsidRPr="00A950B0" w:rsidRDefault="00821BCA" w:rsidP="00821BCA">
      <w:pPr>
        <w:rPr>
          <w:sz w:val="24"/>
        </w:rPr>
      </w:pPr>
    </w:p>
    <w:p w14:paraId="665BE14D" w14:textId="279229CB" w:rsidR="00821BCA" w:rsidRPr="00A950B0" w:rsidRDefault="00821BCA" w:rsidP="00D21FC5">
      <w:pPr>
        <w:tabs>
          <w:tab w:val="left" w:pos="8029"/>
        </w:tabs>
        <w:rPr>
          <w:sz w:val="24"/>
        </w:rPr>
      </w:pPr>
      <w:r w:rsidRPr="00A950B0">
        <w:rPr>
          <w:sz w:val="24"/>
        </w:rPr>
        <w:t>The prices should be gross</w:t>
      </w:r>
      <w:r w:rsidR="00A3701F" w:rsidRPr="00A950B0">
        <w:rPr>
          <w:sz w:val="24"/>
        </w:rPr>
        <w:t>, including taxes and contributions,</w:t>
      </w:r>
      <w:r w:rsidRPr="00A950B0">
        <w:rPr>
          <w:sz w:val="24"/>
        </w:rPr>
        <w:t xml:space="preserve"> and stated in</w:t>
      </w:r>
      <w:r w:rsidR="00A3701F" w:rsidRPr="00A950B0">
        <w:rPr>
          <w:sz w:val="24"/>
        </w:rPr>
        <w:t xml:space="preserve"> </w:t>
      </w:r>
      <w:r w:rsidR="00D57337">
        <w:rPr>
          <w:sz w:val="24"/>
        </w:rPr>
        <w:t>BAM</w:t>
      </w:r>
      <w:r w:rsidR="006628C0" w:rsidRPr="00A950B0">
        <w:rPr>
          <w:sz w:val="24"/>
        </w:rPr>
        <w:t>.</w:t>
      </w:r>
      <w:r w:rsidR="00D21FC5" w:rsidRPr="00A950B0">
        <w:rPr>
          <w:sz w:val="24"/>
        </w:rPr>
        <w:tab/>
      </w:r>
    </w:p>
    <w:p w14:paraId="6DDF42C0" w14:textId="77777777" w:rsidR="00821BCA" w:rsidRPr="00A950B0" w:rsidRDefault="00821BCA" w:rsidP="00821BCA">
      <w:pPr>
        <w:rPr>
          <w:sz w:val="24"/>
        </w:rPr>
      </w:pPr>
    </w:p>
    <w:p w14:paraId="1DB60967" w14:textId="202D56DD" w:rsidR="00821BCA" w:rsidRPr="00E04977" w:rsidRDefault="00E04977" w:rsidP="00821BCA">
      <w:pPr>
        <w:rPr>
          <w:sz w:val="24"/>
        </w:rPr>
      </w:pPr>
      <w:r w:rsidRPr="00E04977">
        <w:rPr>
          <w:sz w:val="24"/>
        </w:rPr>
        <w:t xml:space="preserve">Proposals should be submitted no later than </w:t>
      </w:r>
      <w:r w:rsidRPr="00E04977">
        <w:rPr>
          <w:rStyle w:val="Strong"/>
          <w:sz w:val="24"/>
        </w:rPr>
        <w:t>1</w:t>
      </w:r>
      <w:r w:rsidR="00EC446C">
        <w:rPr>
          <w:rStyle w:val="Strong"/>
          <w:sz w:val="24"/>
        </w:rPr>
        <w:t>9</w:t>
      </w:r>
      <w:r w:rsidRPr="00E04977">
        <w:rPr>
          <w:rStyle w:val="Strong"/>
          <w:sz w:val="24"/>
        </w:rPr>
        <w:t xml:space="preserve"> June 2026, by 12:00 p.m. (noon)</w:t>
      </w:r>
      <w:r w:rsidRPr="00E04977">
        <w:rPr>
          <w:sz w:val="24"/>
        </w:rPr>
        <w:t xml:space="preserve">, via e-mail to </w:t>
      </w:r>
      <w:r w:rsidR="0047510C">
        <w:rPr>
          <w:sz w:val="24"/>
        </w:rPr>
        <w:t>a</w:t>
      </w:r>
      <w:hyperlink r:id="rId12" w:history="1">
        <w:r w:rsidR="0047510C" w:rsidRPr="00F009B8">
          <w:rPr>
            <w:rStyle w:val="Hyperlink"/>
          </w:rPr>
          <w:t>mir@sogfbih.ba</w:t>
        </w:r>
      </w:hyperlink>
      <w:r w:rsidR="0047510C">
        <w:t xml:space="preserve"> </w:t>
      </w:r>
      <w:r w:rsidRPr="00E04977">
        <w:rPr>
          <w:sz w:val="24"/>
        </w:rPr>
        <w:t xml:space="preserve"> Late submissions will not be considered.</w:t>
      </w:r>
    </w:p>
    <w:p w14:paraId="7A3DC5C7" w14:textId="77777777" w:rsidR="00E04977" w:rsidRDefault="00E04977" w:rsidP="00821BCA">
      <w:pPr>
        <w:pStyle w:val="Heading2"/>
        <w:rPr>
          <w:b w:val="0"/>
          <w:bCs/>
          <w:sz w:val="24"/>
          <w:lang w:val="en-GB"/>
        </w:rPr>
      </w:pPr>
    </w:p>
    <w:p w14:paraId="6454F642" w14:textId="77777777" w:rsidR="00E04977" w:rsidRDefault="00E04977" w:rsidP="00821BCA">
      <w:pPr>
        <w:pStyle w:val="Heading2"/>
        <w:rPr>
          <w:b w:val="0"/>
          <w:bCs/>
          <w:sz w:val="24"/>
          <w:lang w:val="en-GB"/>
        </w:rPr>
      </w:pPr>
    </w:p>
    <w:p w14:paraId="6B936CFD" w14:textId="2ED9606D" w:rsidR="00821BCA" w:rsidRPr="00A950B0" w:rsidRDefault="00821BCA" w:rsidP="00821BCA">
      <w:pPr>
        <w:pStyle w:val="Heading2"/>
        <w:rPr>
          <w:sz w:val="24"/>
          <w:lang w:val="en-GB"/>
        </w:rPr>
      </w:pPr>
      <w:r w:rsidRPr="00A950B0">
        <w:rPr>
          <w:b w:val="0"/>
          <w:bCs/>
          <w:sz w:val="24"/>
          <w:lang w:val="en-GB"/>
        </w:rPr>
        <w:lastRenderedPageBreak/>
        <w:t>Evaluation Criteria and Scoring</w:t>
      </w:r>
      <w:r w:rsidR="00D21FC5" w:rsidRPr="00A950B0">
        <w:rPr>
          <w:sz w:val="24"/>
          <w:lang w:val="en-GB"/>
        </w:rPr>
        <w:t xml:space="preserve"> </w:t>
      </w:r>
    </w:p>
    <w:p w14:paraId="6C80F456" w14:textId="77777777" w:rsidR="00A3701F" w:rsidRPr="00A950B0" w:rsidRDefault="00A3701F" w:rsidP="00821BCA">
      <w:pPr>
        <w:rPr>
          <w:sz w:val="24"/>
        </w:rPr>
      </w:pPr>
    </w:p>
    <w:p w14:paraId="67D45163" w14:textId="2D8F4619" w:rsidR="00821BCA" w:rsidRPr="00A950B0" w:rsidRDefault="00821BCA" w:rsidP="00821BCA">
      <w:pPr>
        <w:rPr>
          <w:sz w:val="24"/>
        </w:rPr>
      </w:pPr>
      <w:r w:rsidRPr="00A950B0">
        <w:rPr>
          <w:sz w:val="24"/>
        </w:rPr>
        <w:t xml:space="preserve">The proposals will be evaluated and rated based on the criteria set out in this ToR. In order to do so: </w:t>
      </w:r>
    </w:p>
    <w:p w14:paraId="5743389A" w14:textId="77777777" w:rsidR="00821BCA" w:rsidRPr="00A950B0" w:rsidRDefault="00821BCA" w:rsidP="00821BCA">
      <w:pPr>
        <w:pStyle w:val="ListParagraph"/>
        <w:numPr>
          <w:ilvl w:val="0"/>
          <w:numId w:val="3"/>
        </w:numPr>
        <w:rPr>
          <w:sz w:val="24"/>
        </w:rPr>
      </w:pPr>
      <w:r w:rsidRPr="00A950B0">
        <w:rPr>
          <w:sz w:val="24"/>
        </w:rPr>
        <w:t>The proposal must be submitted in English;</w:t>
      </w:r>
    </w:p>
    <w:p w14:paraId="48DF4C87" w14:textId="77777777" w:rsidR="00821BCA" w:rsidRPr="00A950B0" w:rsidRDefault="00821BCA" w:rsidP="00821BCA">
      <w:pPr>
        <w:pStyle w:val="ListParagraph"/>
        <w:numPr>
          <w:ilvl w:val="0"/>
          <w:numId w:val="3"/>
        </w:numPr>
        <w:rPr>
          <w:sz w:val="24"/>
        </w:rPr>
      </w:pPr>
      <w:r w:rsidRPr="00A950B0">
        <w:rPr>
          <w:sz w:val="24"/>
        </w:rPr>
        <w:t xml:space="preserve">The proposal must be submitted by the stated deadline; </w:t>
      </w:r>
    </w:p>
    <w:p w14:paraId="265FF6DA" w14:textId="77777777" w:rsidR="00821BCA" w:rsidRPr="00A950B0" w:rsidRDefault="00821BCA" w:rsidP="00821BCA">
      <w:pPr>
        <w:pStyle w:val="ListParagraph"/>
        <w:numPr>
          <w:ilvl w:val="0"/>
          <w:numId w:val="3"/>
        </w:numPr>
        <w:rPr>
          <w:sz w:val="24"/>
        </w:rPr>
      </w:pPr>
      <w:r w:rsidRPr="00A950B0">
        <w:rPr>
          <w:sz w:val="24"/>
        </w:rPr>
        <w:t>The proposal must be complete, containing all the elements listed in Chapter 5 of this ToR.</w:t>
      </w:r>
    </w:p>
    <w:p w14:paraId="4A8DD2C6" w14:textId="77777777" w:rsidR="00821BCA" w:rsidRPr="00A950B0" w:rsidRDefault="00821BCA" w:rsidP="00821BCA">
      <w:pPr>
        <w:rPr>
          <w:sz w:val="24"/>
        </w:rPr>
      </w:pPr>
    </w:p>
    <w:p w14:paraId="3DDBDE01" w14:textId="77777777" w:rsidR="00821BCA" w:rsidRDefault="00821BCA" w:rsidP="00AD46F3">
      <w:r w:rsidRPr="00A950B0">
        <w:t>The Evaluation Committee will evaluate the proposals based on the following criteria:</w:t>
      </w:r>
    </w:p>
    <w:p w14:paraId="67F7321F" w14:textId="77777777" w:rsidR="00D81A24" w:rsidRPr="00D81A24" w:rsidRDefault="00D81A24" w:rsidP="00AD46F3">
      <w:pPr>
        <w:rPr>
          <w:rFonts w:asciiTheme="majorHAnsi" w:hAnsiTheme="majorHAnsi"/>
          <w:i/>
          <w:iCs/>
          <w:lang w:val="bs-Latn-BA" w:eastAsia="bs-Latn-BA"/>
        </w:rPr>
      </w:pPr>
      <w:r w:rsidRPr="00D81A24">
        <w:rPr>
          <w:rFonts w:asciiTheme="majorHAnsi" w:hAnsiTheme="majorHAnsi"/>
          <w:i/>
          <w:iCs/>
        </w:rPr>
        <w:t>Experience in conducting research in the field of local government and public policy</w:t>
      </w:r>
    </w:p>
    <w:p w14:paraId="114AC188" w14:textId="77777777" w:rsidR="00D81A24" w:rsidRPr="00D81A24" w:rsidRDefault="00D81A24" w:rsidP="00AD46F3">
      <w:pPr>
        <w:rPr>
          <w:rFonts w:asciiTheme="majorHAnsi" w:hAnsiTheme="majorHAnsi"/>
          <w:i/>
          <w:iCs/>
        </w:rPr>
      </w:pPr>
      <w:r w:rsidRPr="00D81A24">
        <w:rPr>
          <w:rFonts w:asciiTheme="majorHAnsi" w:hAnsiTheme="majorHAnsi"/>
          <w:i/>
          <w:iCs/>
        </w:rPr>
        <w:t>Experience in the field of local government, European integration and reform processes</w:t>
      </w:r>
    </w:p>
    <w:p w14:paraId="7BEF31F4" w14:textId="77777777" w:rsidR="00D81A24" w:rsidRPr="00D81A24" w:rsidRDefault="00D81A24" w:rsidP="00AD46F3">
      <w:pPr>
        <w:rPr>
          <w:rFonts w:asciiTheme="majorHAnsi" w:hAnsiTheme="majorHAnsi"/>
          <w:i/>
          <w:iCs/>
        </w:rPr>
      </w:pPr>
      <w:r w:rsidRPr="00D81A24">
        <w:rPr>
          <w:rFonts w:asciiTheme="majorHAnsi" w:hAnsiTheme="majorHAnsi"/>
          <w:i/>
          <w:iCs/>
        </w:rPr>
        <w:t>Quality of the proposed work approach and implementation plan</w:t>
      </w:r>
    </w:p>
    <w:p w14:paraId="225C5CA5" w14:textId="3DC737E7" w:rsidR="00D81A24" w:rsidRPr="00D81A24" w:rsidRDefault="00D81A24" w:rsidP="00AD46F3">
      <w:pPr>
        <w:rPr>
          <w:rFonts w:asciiTheme="majorHAnsi" w:hAnsiTheme="majorHAnsi"/>
          <w:i/>
          <w:iCs/>
        </w:rPr>
      </w:pPr>
      <w:r w:rsidRPr="00D81A24">
        <w:rPr>
          <w:rFonts w:asciiTheme="majorHAnsi" w:hAnsiTheme="majorHAnsi"/>
          <w:i/>
          <w:iCs/>
        </w:rPr>
        <w:t xml:space="preserve">Knowledge of the institutional and legal framework of Bosnia and Herzegovina and the </w:t>
      </w:r>
      <w:r w:rsidR="00EC446C">
        <w:rPr>
          <w:rFonts w:asciiTheme="majorHAnsi" w:hAnsiTheme="majorHAnsi"/>
          <w:i/>
          <w:iCs/>
        </w:rPr>
        <w:t>Federation of Bosnia and Herzegovina</w:t>
      </w:r>
      <w:r w:rsidRPr="00D81A24">
        <w:rPr>
          <w:rFonts w:asciiTheme="majorHAnsi" w:hAnsiTheme="majorHAnsi"/>
          <w:i/>
          <w:iCs/>
        </w:rPr>
        <w:t>, including the local government system</w:t>
      </w:r>
    </w:p>
    <w:p w14:paraId="07524EDB" w14:textId="77777777" w:rsidR="00A3701F" w:rsidRPr="00A950B0" w:rsidRDefault="00A3701F" w:rsidP="00821BCA">
      <w:pPr>
        <w:rPr>
          <w:sz w:val="24"/>
        </w:rPr>
      </w:pPr>
    </w:p>
    <w:p w14:paraId="780634E7" w14:textId="77777777" w:rsidR="00821BCA" w:rsidRPr="00A950B0" w:rsidRDefault="00821BCA" w:rsidP="00821BCA">
      <w:pPr>
        <w:rPr>
          <w:sz w:val="24"/>
        </w:rPr>
      </w:pPr>
    </w:p>
    <w:p w14:paraId="26F3D594" w14:textId="77777777" w:rsidR="008F6014" w:rsidRPr="00A950B0" w:rsidRDefault="008F6014" w:rsidP="00126B0D">
      <w:pPr>
        <w:rPr>
          <w:i/>
          <w:iCs/>
          <w:sz w:val="24"/>
        </w:rPr>
      </w:pPr>
    </w:p>
    <w:p w14:paraId="542AD43A" w14:textId="77777777" w:rsidR="008F6014" w:rsidRPr="00AE542E" w:rsidRDefault="008F6014" w:rsidP="00126B0D">
      <w:pPr>
        <w:rPr>
          <w:i/>
          <w:iCs/>
          <w:sz w:val="20"/>
          <w:szCs w:val="20"/>
        </w:rPr>
      </w:pPr>
    </w:p>
    <w:p w14:paraId="3299F9FB" w14:textId="405020FF" w:rsidR="008F6014" w:rsidRPr="00AE542E" w:rsidRDefault="009233F7" w:rsidP="00126B0D">
      <w:pPr>
        <w:rPr>
          <w:i/>
          <w:iCs/>
          <w:sz w:val="20"/>
          <w:szCs w:val="20"/>
        </w:rPr>
      </w:pPr>
      <w:r w:rsidRPr="00AE542E">
        <w:rPr>
          <w:i/>
          <w:iCs/>
          <w:sz w:val="20"/>
          <w:szCs w:val="20"/>
        </w:rPr>
        <w:t xml:space="preserve">NOTE: </w:t>
      </w:r>
      <w:r w:rsidR="008F6014" w:rsidRPr="00AE542E">
        <w:rPr>
          <w:i/>
          <w:iCs/>
          <w:sz w:val="20"/>
          <w:szCs w:val="20"/>
        </w:rPr>
        <w:t>This activity is carried out with a grant from a Joint Programme between the European Union and the Council of Europe</w:t>
      </w:r>
    </w:p>
    <w:p w14:paraId="088DE5B3" w14:textId="2CF4A6DB" w:rsidR="00FB701F" w:rsidRPr="00A950B0" w:rsidRDefault="00FB701F" w:rsidP="00126B0D">
      <w:pPr>
        <w:rPr>
          <w:i/>
          <w:iCs/>
          <w:sz w:val="24"/>
        </w:rPr>
      </w:pPr>
    </w:p>
    <w:sectPr w:rsidR="00FB701F" w:rsidRPr="00A950B0" w:rsidSect="009F15FD">
      <w:headerReference w:type="default" r:id="rId13"/>
      <w:footerReference w:type="default" r:id="rId14"/>
      <w:headerReference w:type="first" r:id="rId15"/>
      <w:footerReference w:type="first" r:id="rId16"/>
      <w:pgSz w:w="11906" w:h="16838" w:code="9"/>
      <w:pgMar w:top="959" w:right="1440" w:bottom="1135" w:left="1440" w:header="851"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C818" w14:textId="77777777" w:rsidR="006E042A" w:rsidRDefault="006E042A">
      <w:r>
        <w:separator/>
      </w:r>
    </w:p>
  </w:endnote>
  <w:endnote w:type="continuationSeparator" w:id="0">
    <w:p w14:paraId="3DF9D6ED" w14:textId="77777777" w:rsidR="006E042A" w:rsidRDefault="006E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Grande">
    <w:charset w:val="00"/>
    <w:family w:val="auto"/>
    <w:pitch w:val="variable"/>
    <w:sig w:usb0="00000000" w:usb1="5000A1FF" w:usb2="00000000" w:usb3="00000000" w:csb0="000001BF" w:csb1="00000000"/>
  </w:font>
  <w:font w:name="ヒラギノ角ゴ Pro W3">
    <w:charset w:val="80"/>
    <w:family w:val="auto"/>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781914"/>
      <w:docPartObj>
        <w:docPartGallery w:val="Page Numbers (Bottom of Page)"/>
        <w:docPartUnique/>
      </w:docPartObj>
    </w:sdtPr>
    <w:sdtContent>
      <w:p w14:paraId="0161D05F" w14:textId="77777777" w:rsidR="00E7251A" w:rsidRDefault="00E7251A" w:rsidP="008F38DF">
        <w:pPr>
          <w:pStyle w:val="Footer"/>
          <w:ind w:left="-284" w:right="-330"/>
          <w:jc w:val="center"/>
          <w:rPr>
            <w:sz w:val="16"/>
            <w:szCs w:val="16"/>
          </w:rPr>
        </w:pPr>
      </w:p>
      <w:p w14:paraId="6560E15C" w14:textId="77777777" w:rsidR="00E7251A" w:rsidRPr="00C21F5F" w:rsidRDefault="00E7251A">
        <w:pPr>
          <w:pStyle w:val="Footer"/>
          <w:jc w:val="right"/>
          <w:rPr>
            <w:color w:val="A6A6A6" w:themeColor="background1" w:themeShade="A6"/>
            <w:sz w:val="16"/>
            <w:szCs w:val="16"/>
          </w:rPr>
        </w:pPr>
        <w:r w:rsidRPr="00C21F5F">
          <w:rPr>
            <w:color w:val="A6A6A6" w:themeColor="background1" w:themeShade="A6"/>
            <w:sz w:val="16"/>
            <w:szCs w:val="16"/>
          </w:rPr>
          <w:t xml:space="preserve">Page | </w:t>
        </w:r>
        <w:r w:rsidRPr="00C21F5F">
          <w:rPr>
            <w:color w:val="A6A6A6" w:themeColor="background1" w:themeShade="A6"/>
            <w:sz w:val="16"/>
            <w:szCs w:val="16"/>
          </w:rPr>
          <w:fldChar w:fldCharType="begin"/>
        </w:r>
        <w:r w:rsidRPr="00C21F5F">
          <w:rPr>
            <w:color w:val="A6A6A6" w:themeColor="background1" w:themeShade="A6"/>
            <w:sz w:val="16"/>
            <w:szCs w:val="16"/>
          </w:rPr>
          <w:instrText xml:space="preserve"> PAGE   \* MERGEFORMAT </w:instrText>
        </w:r>
        <w:r w:rsidRPr="00C21F5F">
          <w:rPr>
            <w:color w:val="A6A6A6" w:themeColor="background1" w:themeShade="A6"/>
            <w:sz w:val="16"/>
            <w:szCs w:val="16"/>
          </w:rPr>
          <w:fldChar w:fldCharType="separate"/>
        </w:r>
        <w:r w:rsidR="00372663">
          <w:rPr>
            <w:noProof/>
            <w:color w:val="A6A6A6" w:themeColor="background1" w:themeShade="A6"/>
            <w:sz w:val="16"/>
            <w:szCs w:val="16"/>
          </w:rPr>
          <w:t>6</w:t>
        </w:r>
        <w:r w:rsidRPr="00C21F5F">
          <w:rPr>
            <w:color w:val="A6A6A6" w:themeColor="background1" w:themeShade="A6"/>
            <w:sz w:val="16"/>
            <w:szCs w:val="16"/>
          </w:rPr>
          <w:fldChar w:fldCharType="end"/>
        </w:r>
        <w:r w:rsidRPr="00C21F5F">
          <w:rPr>
            <w:color w:val="A6A6A6" w:themeColor="background1" w:themeShade="A6"/>
            <w:sz w:val="16"/>
            <w:szCs w:val="16"/>
          </w:rPr>
          <w:t xml:space="preserve"> </w:t>
        </w:r>
      </w:p>
    </w:sdtContent>
  </w:sdt>
  <w:p w14:paraId="50B2740B" w14:textId="77777777" w:rsidR="00E7251A" w:rsidRPr="00C21F5F" w:rsidRDefault="00E7251A">
    <w:pPr>
      <w:pStyle w:val="Foote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F3D1" w14:textId="40C91DC5" w:rsidR="00E7251A" w:rsidRPr="006C6987" w:rsidRDefault="00E7251A" w:rsidP="006C6987">
    <w:pPr>
      <w:pStyle w:val="Footer"/>
      <w:ind w:left="-284" w:right="-330"/>
      <w:jc w:val="center"/>
      <w:rPr>
        <w:rFonts w:ascii="Arial" w:hAnsi="Arial" w:cs="Arial"/>
        <w:color w:val="999999"/>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2F3B" w14:textId="77777777" w:rsidR="006E042A" w:rsidRDefault="006E042A">
      <w:r>
        <w:separator/>
      </w:r>
    </w:p>
  </w:footnote>
  <w:footnote w:type="continuationSeparator" w:id="0">
    <w:p w14:paraId="78379C1E" w14:textId="77777777" w:rsidR="006E042A" w:rsidRDefault="006E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A85A" w14:textId="77777777" w:rsidR="00E7251A" w:rsidRDefault="00E7251A" w:rsidP="009F15FD">
    <w:pPr>
      <w:pStyle w:val="Header"/>
      <w:tabs>
        <w:tab w:val="clear" w:pos="4153"/>
        <w:tab w:val="clear" w:pos="8306"/>
        <w:tab w:val="left" w:pos="57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9566" w14:textId="432C428F" w:rsidR="00A950B0" w:rsidRPr="00A950B0" w:rsidRDefault="00A950B0" w:rsidP="00A950B0">
    <w:pPr>
      <w:pStyle w:val="Header"/>
      <w:rPr>
        <w:rFonts w:cs="Arial"/>
        <w:sz w:val="28"/>
        <w:szCs w:val="28"/>
      </w:rPr>
    </w:pPr>
  </w:p>
  <w:p w14:paraId="3C8DCB9D" w14:textId="2F3C7319" w:rsidR="00E7251A" w:rsidRPr="00232B24" w:rsidRDefault="00E7251A" w:rsidP="00513642">
    <w:pPr>
      <w:pStyle w:val="Header"/>
      <w:rPr>
        <w:rFonts w:cs="Arial"/>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90B"/>
    <w:multiLevelType w:val="hybridMultilevel"/>
    <w:tmpl w:val="D2545F00"/>
    <w:lvl w:ilvl="0" w:tplc="042F0017">
      <w:start w:val="1"/>
      <w:numFmt w:val="lowerLetter"/>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5065910"/>
    <w:multiLevelType w:val="multilevel"/>
    <w:tmpl w:val="2780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B73B1"/>
    <w:multiLevelType w:val="hybridMultilevel"/>
    <w:tmpl w:val="2F60C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C27E8"/>
    <w:multiLevelType w:val="hybridMultilevel"/>
    <w:tmpl w:val="3A06469E"/>
    <w:lvl w:ilvl="0" w:tplc="6CCA0F98">
      <w:start w:val="1"/>
      <w:numFmt w:val="decimal"/>
      <w:lvlText w:val="%1."/>
      <w:lvlJc w:val="left"/>
      <w:pPr>
        <w:ind w:left="1440" w:hanging="360"/>
      </w:pPr>
    </w:lvl>
    <w:lvl w:ilvl="1" w:tplc="951273F6">
      <w:start w:val="1"/>
      <w:numFmt w:val="decimal"/>
      <w:lvlText w:val="%2."/>
      <w:lvlJc w:val="left"/>
      <w:pPr>
        <w:ind w:left="1440" w:hanging="360"/>
      </w:pPr>
    </w:lvl>
    <w:lvl w:ilvl="2" w:tplc="0B808EE8">
      <w:start w:val="1"/>
      <w:numFmt w:val="decimal"/>
      <w:lvlText w:val="%3."/>
      <w:lvlJc w:val="left"/>
      <w:pPr>
        <w:ind w:left="1440" w:hanging="360"/>
      </w:pPr>
    </w:lvl>
    <w:lvl w:ilvl="3" w:tplc="06AEA7FE">
      <w:start w:val="1"/>
      <w:numFmt w:val="decimal"/>
      <w:lvlText w:val="%4."/>
      <w:lvlJc w:val="left"/>
      <w:pPr>
        <w:ind w:left="1440" w:hanging="360"/>
      </w:pPr>
    </w:lvl>
    <w:lvl w:ilvl="4" w:tplc="64300696">
      <w:start w:val="1"/>
      <w:numFmt w:val="decimal"/>
      <w:lvlText w:val="%5."/>
      <w:lvlJc w:val="left"/>
      <w:pPr>
        <w:ind w:left="1440" w:hanging="360"/>
      </w:pPr>
    </w:lvl>
    <w:lvl w:ilvl="5" w:tplc="00ECAB32">
      <w:start w:val="1"/>
      <w:numFmt w:val="decimal"/>
      <w:lvlText w:val="%6."/>
      <w:lvlJc w:val="left"/>
      <w:pPr>
        <w:ind w:left="1440" w:hanging="360"/>
      </w:pPr>
    </w:lvl>
    <w:lvl w:ilvl="6" w:tplc="4B3EDE84">
      <w:start w:val="1"/>
      <w:numFmt w:val="decimal"/>
      <w:lvlText w:val="%7."/>
      <w:lvlJc w:val="left"/>
      <w:pPr>
        <w:ind w:left="1440" w:hanging="360"/>
      </w:pPr>
    </w:lvl>
    <w:lvl w:ilvl="7" w:tplc="13EEE524">
      <w:start w:val="1"/>
      <w:numFmt w:val="decimal"/>
      <w:lvlText w:val="%8."/>
      <w:lvlJc w:val="left"/>
      <w:pPr>
        <w:ind w:left="1440" w:hanging="360"/>
      </w:pPr>
    </w:lvl>
    <w:lvl w:ilvl="8" w:tplc="4E3235FA">
      <w:start w:val="1"/>
      <w:numFmt w:val="decimal"/>
      <w:lvlText w:val="%9."/>
      <w:lvlJc w:val="left"/>
      <w:pPr>
        <w:ind w:left="1440" w:hanging="360"/>
      </w:pPr>
    </w:lvl>
  </w:abstractNum>
  <w:abstractNum w:abstractNumId="4" w15:restartNumberingAfterBreak="0">
    <w:nsid w:val="08FF4D7E"/>
    <w:multiLevelType w:val="hybridMultilevel"/>
    <w:tmpl w:val="F1085A6A"/>
    <w:lvl w:ilvl="0" w:tplc="042F0017">
      <w:start w:val="1"/>
      <w:numFmt w:val="lowerLetter"/>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5" w15:restartNumberingAfterBreak="0">
    <w:nsid w:val="0CC761B6"/>
    <w:multiLevelType w:val="multilevel"/>
    <w:tmpl w:val="61CEB598"/>
    <w:lvl w:ilvl="0">
      <w:start w:val="5"/>
      <w:numFmt w:val="bullet"/>
      <w:lvlText w:val="-"/>
      <w:lvlJc w:val="left"/>
      <w:pPr>
        <w:tabs>
          <w:tab w:val="num" w:pos="720"/>
        </w:tabs>
        <w:ind w:left="720" w:hanging="360"/>
      </w:pPr>
      <w:rPr>
        <w:rFonts w:ascii="Aptos Light" w:eastAsia="Times New Roman" w:hAnsi="Aptos Light" w:cs="Times New Roman" w:hint="default"/>
        <w:i/>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A1657"/>
    <w:multiLevelType w:val="multilevel"/>
    <w:tmpl w:val="61DC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A2B7E"/>
    <w:multiLevelType w:val="hybridMultilevel"/>
    <w:tmpl w:val="7CC2B88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1A1F5E55"/>
    <w:multiLevelType w:val="hybridMultilevel"/>
    <w:tmpl w:val="6C30011C"/>
    <w:lvl w:ilvl="0" w:tplc="DA50B296">
      <w:start w:val="5"/>
      <w:numFmt w:val="bullet"/>
      <w:lvlText w:val="-"/>
      <w:lvlJc w:val="left"/>
      <w:pPr>
        <w:ind w:left="720" w:hanging="360"/>
      </w:pPr>
      <w:rPr>
        <w:rFonts w:ascii="Aptos Light" w:eastAsia="Times New Roman" w:hAnsi="Aptos Light" w:cs="Times New Roman" w:hint="default"/>
        <w:i/>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434F17"/>
    <w:multiLevelType w:val="multilevel"/>
    <w:tmpl w:val="E0FE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B1793"/>
    <w:multiLevelType w:val="hybridMultilevel"/>
    <w:tmpl w:val="514C32B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2D4F720D"/>
    <w:multiLevelType w:val="hybridMultilevel"/>
    <w:tmpl w:val="61E28520"/>
    <w:lvl w:ilvl="0" w:tplc="C390E4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72A41"/>
    <w:multiLevelType w:val="hybridMultilevel"/>
    <w:tmpl w:val="5D424452"/>
    <w:lvl w:ilvl="0" w:tplc="DA50B296">
      <w:start w:val="5"/>
      <w:numFmt w:val="bullet"/>
      <w:lvlText w:val="-"/>
      <w:lvlJc w:val="left"/>
      <w:pPr>
        <w:ind w:left="720" w:hanging="360"/>
      </w:pPr>
      <w:rPr>
        <w:rFonts w:ascii="Aptos Light" w:eastAsia="Times New Roman" w:hAnsi="Aptos Light" w:cs="Times New Roman" w:hint="default"/>
        <w:i/>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F74D5B"/>
    <w:multiLevelType w:val="hybridMultilevel"/>
    <w:tmpl w:val="B9B49C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9B6545"/>
    <w:multiLevelType w:val="multilevel"/>
    <w:tmpl w:val="961C35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4A42DB6"/>
    <w:multiLevelType w:val="hybridMultilevel"/>
    <w:tmpl w:val="D4F8C33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3B4221BF"/>
    <w:multiLevelType w:val="hybridMultilevel"/>
    <w:tmpl w:val="2820BA66"/>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867696"/>
    <w:multiLevelType w:val="multilevel"/>
    <w:tmpl w:val="7A2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136E90"/>
    <w:multiLevelType w:val="hybridMultilevel"/>
    <w:tmpl w:val="CB04FCBA"/>
    <w:lvl w:ilvl="0" w:tplc="042F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4AAA2993"/>
    <w:multiLevelType w:val="hybridMultilevel"/>
    <w:tmpl w:val="333A9EEE"/>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0" w15:restartNumberingAfterBreak="0">
    <w:nsid w:val="4E142BF1"/>
    <w:multiLevelType w:val="hybridMultilevel"/>
    <w:tmpl w:val="9EF0F9DA"/>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901613"/>
    <w:multiLevelType w:val="multilevel"/>
    <w:tmpl w:val="36FE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E7082"/>
    <w:multiLevelType w:val="hybridMultilevel"/>
    <w:tmpl w:val="AC1ADC18"/>
    <w:lvl w:ilvl="0" w:tplc="34D4178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3075C8"/>
    <w:multiLevelType w:val="hybridMultilevel"/>
    <w:tmpl w:val="8CE81264"/>
    <w:lvl w:ilvl="0" w:tplc="C390E48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31038B"/>
    <w:multiLevelType w:val="hybridMultilevel"/>
    <w:tmpl w:val="224E5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365940"/>
    <w:multiLevelType w:val="hybridMultilevel"/>
    <w:tmpl w:val="7BAAAA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2A09DA"/>
    <w:multiLevelType w:val="hybridMultilevel"/>
    <w:tmpl w:val="D8A86508"/>
    <w:lvl w:ilvl="0" w:tplc="49D01634">
      <w:start w:val="1"/>
      <w:numFmt w:val="decimal"/>
      <w:lvlText w:val="%1."/>
      <w:lvlJc w:val="left"/>
      <w:pPr>
        <w:ind w:left="720" w:hanging="360"/>
      </w:pPr>
      <w:rPr>
        <w:rFonts w:asciiTheme="minorHAnsi" w:eastAsiaTheme="minorHAnsi" w:hAnsiTheme="minorHAnsi" w:cstheme="minorBidi"/>
        <w:i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71AF29FD"/>
    <w:multiLevelType w:val="hybridMultilevel"/>
    <w:tmpl w:val="1522072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20159F0"/>
    <w:multiLevelType w:val="multilevel"/>
    <w:tmpl w:val="38AE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C64B30"/>
    <w:multiLevelType w:val="multilevel"/>
    <w:tmpl w:val="5A4A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21086F"/>
    <w:multiLevelType w:val="hybridMultilevel"/>
    <w:tmpl w:val="1DA6BC1A"/>
    <w:lvl w:ilvl="0" w:tplc="CA769CDC">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D8819B5"/>
    <w:multiLevelType w:val="multilevel"/>
    <w:tmpl w:val="FA72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1D7F79"/>
    <w:multiLevelType w:val="hybridMultilevel"/>
    <w:tmpl w:val="3ABCA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3482">
    <w:abstractNumId w:val="0"/>
  </w:num>
  <w:num w:numId="2" w16cid:durableId="728264052">
    <w:abstractNumId w:val="4"/>
  </w:num>
  <w:num w:numId="3" w16cid:durableId="577519564">
    <w:abstractNumId w:val="19"/>
  </w:num>
  <w:num w:numId="4" w16cid:durableId="1841896001">
    <w:abstractNumId w:val="10"/>
  </w:num>
  <w:num w:numId="5" w16cid:durableId="1584758158">
    <w:abstractNumId w:val="18"/>
  </w:num>
  <w:num w:numId="6" w16cid:durableId="1082411107">
    <w:abstractNumId w:val="9"/>
  </w:num>
  <w:num w:numId="7" w16cid:durableId="619914391">
    <w:abstractNumId w:val="21"/>
  </w:num>
  <w:num w:numId="8" w16cid:durableId="342900584">
    <w:abstractNumId w:val="15"/>
  </w:num>
  <w:num w:numId="9" w16cid:durableId="28192803">
    <w:abstractNumId w:val="26"/>
  </w:num>
  <w:num w:numId="10" w16cid:durableId="499853277">
    <w:abstractNumId w:val="7"/>
  </w:num>
  <w:num w:numId="11" w16cid:durableId="325281530">
    <w:abstractNumId w:val="3"/>
  </w:num>
  <w:num w:numId="12" w16cid:durableId="1548419220">
    <w:abstractNumId w:val="25"/>
  </w:num>
  <w:num w:numId="13" w16cid:durableId="1592276972">
    <w:abstractNumId w:val="8"/>
  </w:num>
  <w:num w:numId="14" w16cid:durableId="1550219085">
    <w:abstractNumId w:val="16"/>
  </w:num>
  <w:num w:numId="15" w16cid:durableId="556744485">
    <w:abstractNumId w:val="12"/>
  </w:num>
  <w:num w:numId="16" w16cid:durableId="1994673805">
    <w:abstractNumId w:val="20"/>
  </w:num>
  <w:num w:numId="17" w16cid:durableId="1692416026">
    <w:abstractNumId w:val="1"/>
  </w:num>
  <w:num w:numId="18" w16cid:durableId="1005789190">
    <w:abstractNumId w:val="5"/>
  </w:num>
  <w:num w:numId="19" w16cid:durableId="2120830648">
    <w:abstractNumId w:val="13"/>
  </w:num>
  <w:num w:numId="20" w16cid:durableId="1750231443">
    <w:abstractNumId w:val="14"/>
  </w:num>
  <w:num w:numId="21" w16cid:durableId="519469875">
    <w:abstractNumId w:val="2"/>
  </w:num>
  <w:num w:numId="22" w16cid:durableId="97607166">
    <w:abstractNumId w:val="22"/>
  </w:num>
  <w:num w:numId="23" w16cid:durableId="944725793">
    <w:abstractNumId w:val="30"/>
  </w:num>
  <w:num w:numId="24" w16cid:durableId="235818844">
    <w:abstractNumId w:val="17"/>
  </w:num>
  <w:num w:numId="25" w16cid:durableId="555816124">
    <w:abstractNumId w:val="29"/>
  </w:num>
  <w:num w:numId="26" w16cid:durableId="809635030">
    <w:abstractNumId w:val="11"/>
  </w:num>
  <w:num w:numId="27" w16cid:durableId="1994528861">
    <w:abstractNumId w:val="24"/>
  </w:num>
  <w:num w:numId="28" w16cid:durableId="1855606401">
    <w:abstractNumId w:val="6"/>
  </w:num>
  <w:num w:numId="29" w16cid:durableId="1426918239">
    <w:abstractNumId w:val="23"/>
  </w:num>
  <w:num w:numId="30" w16cid:durableId="56976460">
    <w:abstractNumId w:val="27"/>
  </w:num>
  <w:num w:numId="31" w16cid:durableId="813062603">
    <w:abstractNumId w:val="32"/>
  </w:num>
  <w:num w:numId="32" w16cid:durableId="1613589262">
    <w:abstractNumId w:val="28"/>
  </w:num>
  <w:num w:numId="33" w16cid:durableId="1420520798">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10"/>
    <w:rsid w:val="000013FA"/>
    <w:rsid w:val="000028FE"/>
    <w:rsid w:val="00003FFE"/>
    <w:rsid w:val="000061E3"/>
    <w:rsid w:val="00006281"/>
    <w:rsid w:val="00011144"/>
    <w:rsid w:val="00011FA3"/>
    <w:rsid w:val="00013F4D"/>
    <w:rsid w:val="00015E7E"/>
    <w:rsid w:val="00024F5B"/>
    <w:rsid w:val="000344B2"/>
    <w:rsid w:val="00036348"/>
    <w:rsid w:val="00044DB8"/>
    <w:rsid w:val="00045123"/>
    <w:rsid w:val="00045E79"/>
    <w:rsid w:val="000503C9"/>
    <w:rsid w:val="00055216"/>
    <w:rsid w:val="00056E26"/>
    <w:rsid w:val="00057F6B"/>
    <w:rsid w:val="00062115"/>
    <w:rsid w:val="0006215D"/>
    <w:rsid w:val="0006438B"/>
    <w:rsid w:val="00064AEF"/>
    <w:rsid w:val="000664F8"/>
    <w:rsid w:val="00066587"/>
    <w:rsid w:val="00066880"/>
    <w:rsid w:val="00071FC4"/>
    <w:rsid w:val="00074A03"/>
    <w:rsid w:val="00074B94"/>
    <w:rsid w:val="000768C0"/>
    <w:rsid w:val="00081BCE"/>
    <w:rsid w:val="0008229C"/>
    <w:rsid w:val="00090288"/>
    <w:rsid w:val="00090669"/>
    <w:rsid w:val="00090F82"/>
    <w:rsid w:val="00093437"/>
    <w:rsid w:val="00093A07"/>
    <w:rsid w:val="0009540B"/>
    <w:rsid w:val="00097A80"/>
    <w:rsid w:val="000A22D7"/>
    <w:rsid w:val="000A7131"/>
    <w:rsid w:val="000B2875"/>
    <w:rsid w:val="000B50E2"/>
    <w:rsid w:val="000B79E3"/>
    <w:rsid w:val="000C5725"/>
    <w:rsid w:val="000C5A9C"/>
    <w:rsid w:val="000D012D"/>
    <w:rsid w:val="000D2B99"/>
    <w:rsid w:val="000D35D8"/>
    <w:rsid w:val="000D3BA0"/>
    <w:rsid w:val="000D5F46"/>
    <w:rsid w:val="000E0FFB"/>
    <w:rsid w:val="000E14B6"/>
    <w:rsid w:val="000E17F4"/>
    <w:rsid w:val="000E4526"/>
    <w:rsid w:val="000E6739"/>
    <w:rsid w:val="000F2931"/>
    <w:rsid w:val="000F2FB7"/>
    <w:rsid w:val="000F2FBB"/>
    <w:rsid w:val="00100DD5"/>
    <w:rsid w:val="0010317D"/>
    <w:rsid w:val="001048D3"/>
    <w:rsid w:val="001058D7"/>
    <w:rsid w:val="00107FDA"/>
    <w:rsid w:val="00114FB9"/>
    <w:rsid w:val="001153FD"/>
    <w:rsid w:val="00115BF2"/>
    <w:rsid w:val="001228AD"/>
    <w:rsid w:val="001255C9"/>
    <w:rsid w:val="0012669D"/>
    <w:rsid w:val="00126B0D"/>
    <w:rsid w:val="00127198"/>
    <w:rsid w:val="00127D77"/>
    <w:rsid w:val="001328F0"/>
    <w:rsid w:val="00132924"/>
    <w:rsid w:val="00134F98"/>
    <w:rsid w:val="00136673"/>
    <w:rsid w:val="00137187"/>
    <w:rsid w:val="00142938"/>
    <w:rsid w:val="00143D74"/>
    <w:rsid w:val="00144C7A"/>
    <w:rsid w:val="00145F34"/>
    <w:rsid w:val="00146D59"/>
    <w:rsid w:val="00152AD3"/>
    <w:rsid w:val="001531F6"/>
    <w:rsid w:val="001544C4"/>
    <w:rsid w:val="00155710"/>
    <w:rsid w:val="001567A4"/>
    <w:rsid w:val="00163EB3"/>
    <w:rsid w:val="00164697"/>
    <w:rsid w:val="00175444"/>
    <w:rsid w:val="0018191E"/>
    <w:rsid w:val="00184EF8"/>
    <w:rsid w:val="00193CA0"/>
    <w:rsid w:val="00196DE1"/>
    <w:rsid w:val="001A3E75"/>
    <w:rsid w:val="001A41BE"/>
    <w:rsid w:val="001A5E49"/>
    <w:rsid w:val="001A6EC6"/>
    <w:rsid w:val="001B0022"/>
    <w:rsid w:val="001B0974"/>
    <w:rsid w:val="001B0FAE"/>
    <w:rsid w:val="001B7757"/>
    <w:rsid w:val="001C00F3"/>
    <w:rsid w:val="001C0152"/>
    <w:rsid w:val="001C09C4"/>
    <w:rsid w:val="001C117A"/>
    <w:rsid w:val="001C167A"/>
    <w:rsid w:val="001C2582"/>
    <w:rsid w:val="001C5FB9"/>
    <w:rsid w:val="001C686C"/>
    <w:rsid w:val="001C70ED"/>
    <w:rsid w:val="001C7428"/>
    <w:rsid w:val="001C7628"/>
    <w:rsid w:val="001D01E1"/>
    <w:rsid w:val="001D08DD"/>
    <w:rsid w:val="001D14D5"/>
    <w:rsid w:val="001D7A8B"/>
    <w:rsid w:val="001E01CE"/>
    <w:rsid w:val="001E14B5"/>
    <w:rsid w:val="001E31A3"/>
    <w:rsid w:val="001E731D"/>
    <w:rsid w:val="001F22CC"/>
    <w:rsid w:val="001F70FE"/>
    <w:rsid w:val="00204095"/>
    <w:rsid w:val="00204890"/>
    <w:rsid w:val="00207212"/>
    <w:rsid w:val="002145C5"/>
    <w:rsid w:val="00221B13"/>
    <w:rsid w:val="002255C1"/>
    <w:rsid w:val="00225652"/>
    <w:rsid w:val="00227FF0"/>
    <w:rsid w:val="002319CD"/>
    <w:rsid w:val="00232B24"/>
    <w:rsid w:val="00235593"/>
    <w:rsid w:val="002355CE"/>
    <w:rsid w:val="0023710D"/>
    <w:rsid w:val="002376F1"/>
    <w:rsid w:val="002417F5"/>
    <w:rsid w:val="00241F11"/>
    <w:rsid w:val="00242273"/>
    <w:rsid w:val="00243715"/>
    <w:rsid w:val="00243F87"/>
    <w:rsid w:val="00244FC4"/>
    <w:rsid w:val="00247326"/>
    <w:rsid w:val="00252927"/>
    <w:rsid w:val="002537EA"/>
    <w:rsid w:val="0025677B"/>
    <w:rsid w:val="0026031B"/>
    <w:rsid w:val="002605C3"/>
    <w:rsid w:val="00260C7E"/>
    <w:rsid w:val="00261F52"/>
    <w:rsid w:val="002638A8"/>
    <w:rsid w:val="002647A1"/>
    <w:rsid w:val="00266B16"/>
    <w:rsid w:val="00272EBB"/>
    <w:rsid w:val="00277A37"/>
    <w:rsid w:val="00277E9E"/>
    <w:rsid w:val="00284420"/>
    <w:rsid w:val="00284BCF"/>
    <w:rsid w:val="002877D1"/>
    <w:rsid w:val="00287BCA"/>
    <w:rsid w:val="00291ED9"/>
    <w:rsid w:val="00292C26"/>
    <w:rsid w:val="00293B15"/>
    <w:rsid w:val="00294B2C"/>
    <w:rsid w:val="002950AD"/>
    <w:rsid w:val="00296B81"/>
    <w:rsid w:val="00297A3E"/>
    <w:rsid w:val="002A36B9"/>
    <w:rsid w:val="002A54CA"/>
    <w:rsid w:val="002A6B1C"/>
    <w:rsid w:val="002A7305"/>
    <w:rsid w:val="002B1D67"/>
    <w:rsid w:val="002B4AF8"/>
    <w:rsid w:val="002B5940"/>
    <w:rsid w:val="002B6BC7"/>
    <w:rsid w:val="002B7936"/>
    <w:rsid w:val="002C01A0"/>
    <w:rsid w:val="002C03F4"/>
    <w:rsid w:val="002C359B"/>
    <w:rsid w:val="002C3870"/>
    <w:rsid w:val="002C4EE2"/>
    <w:rsid w:val="002C5F29"/>
    <w:rsid w:val="002D3961"/>
    <w:rsid w:val="002D6006"/>
    <w:rsid w:val="002D7407"/>
    <w:rsid w:val="002E3A6F"/>
    <w:rsid w:val="002E494A"/>
    <w:rsid w:val="002E5CCB"/>
    <w:rsid w:val="002F5A9D"/>
    <w:rsid w:val="002F5D0B"/>
    <w:rsid w:val="002F7181"/>
    <w:rsid w:val="00304D4A"/>
    <w:rsid w:val="00310868"/>
    <w:rsid w:val="00314065"/>
    <w:rsid w:val="00314BE1"/>
    <w:rsid w:val="00315E74"/>
    <w:rsid w:val="00316A0B"/>
    <w:rsid w:val="0032075D"/>
    <w:rsid w:val="00320E67"/>
    <w:rsid w:val="00323C0E"/>
    <w:rsid w:val="00323EC8"/>
    <w:rsid w:val="00324AD5"/>
    <w:rsid w:val="00327E00"/>
    <w:rsid w:val="00331ACD"/>
    <w:rsid w:val="003339C3"/>
    <w:rsid w:val="0033547B"/>
    <w:rsid w:val="00336FB3"/>
    <w:rsid w:val="003400EF"/>
    <w:rsid w:val="00340A0D"/>
    <w:rsid w:val="00342AE0"/>
    <w:rsid w:val="00351250"/>
    <w:rsid w:val="00351CB1"/>
    <w:rsid w:val="003527D4"/>
    <w:rsid w:val="00357C59"/>
    <w:rsid w:val="003602D2"/>
    <w:rsid w:val="00360B66"/>
    <w:rsid w:val="00362C54"/>
    <w:rsid w:val="00363B3A"/>
    <w:rsid w:val="003641B5"/>
    <w:rsid w:val="0036453C"/>
    <w:rsid w:val="00365791"/>
    <w:rsid w:val="003667B6"/>
    <w:rsid w:val="00372171"/>
    <w:rsid w:val="00372663"/>
    <w:rsid w:val="003726B3"/>
    <w:rsid w:val="0037297B"/>
    <w:rsid w:val="00373329"/>
    <w:rsid w:val="00373D48"/>
    <w:rsid w:val="00375B2B"/>
    <w:rsid w:val="0037770E"/>
    <w:rsid w:val="00382784"/>
    <w:rsid w:val="00385B7E"/>
    <w:rsid w:val="00386E34"/>
    <w:rsid w:val="003872DD"/>
    <w:rsid w:val="00392361"/>
    <w:rsid w:val="00392FB5"/>
    <w:rsid w:val="003940D3"/>
    <w:rsid w:val="003A0662"/>
    <w:rsid w:val="003A11CB"/>
    <w:rsid w:val="003A59FD"/>
    <w:rsid w:val="003B2533"/>
    <w:rsid w:val="003B5979"/>
    <w:rsid w:val="003B5990"/>
    <w:rsid w:val="003C04B3"/>
    <w:rsid w:val="003C4258"/>
    <w:rsid w:val="003E03B0"/>
    <w:rsid w:val="003E2B4B"/>
    <w:rsid w:val="003E461A"/>
    <w:rsid w:val="003E484E"/>
    <w:rsid w:val="003E5A5A"/>
    <w:rsid w:val="003E7146"/>
    <w:rsid w:val="003F7262"/>
    <w:rsid w:val="004009FA"/>
    <w:rsid w:val="004026DE"/>
    <w:rsid w:val="004032AF"/>
    <w:rsid w:val="004033A0"/>
    <w:rsid w:val="00407714"/>
    <w:rsid w:val="004109C2"/>
    <w:rsid w:val="004137DD"/>
    <w:rsid w:val="004179B4"/>
    <w:rsid w:val="0042053B"/>
    <w:rsid w:val="0042310F"/>
    <w:rsid w:val="00425F40"/>
    <w:rsid w:val="00431F73"/>
    <w:rsid w:val="00431F99"/>
    <w:rsid w:val="0043351B"/>
    <w:rsid w:val="0043788B"/>
    <w:rsid w:val="004414E5"/>
    <w:rsid w:val="00441617"/>
    <w:rsid w:val="00443245"/>
    <w:rsid w:val="00451AFB"/>
    <w:rsid w:val="004570C5"/>
    <w:rsid w:val="004579D0"/>
    <w:rsid w:val="00457B91"/>
    <w:rsid w:val="0046487D"/>
    <w:rsid w:val="00465D8D"/>
    <w:rsid w:val="00471C25"/>
    <w:rsid w:val="004724AB"/>
    <w:rsid w:val="004730B7"/>
    <w:rsid w:val="0047469C"/>
    <w:rsid w:val="0047510C"/>
    <w:rsid w:val="00475786"/>
    <w:rsid w:val="0048369B"/>
    <w:rsid w:val="00486571"/>
    <w:rsid w:val="00490415"/>
    <w:rsid w:val="00492F20"/>
    <w:rsid w:val="004933C2"/>
    <w:rsid w:val="00493A55"/>
    <w:rsid w:val="00497099"/>
    <w:rsid w:val="0049775B"/>
    <w:rsid w:val="004A31E9"/>
    <w:rsid w:val="004A3372"/>
    <w:rsid w:val="004A40CA"/>
    <w:rsid w:val="004A636D"/>
    <w:rsid w:val="004B1D0F"/>
    <w:rsid w:val="004B42FD"/>
    <w:rsid w:val="004B6131"/>
    <w:rsid w:val="004B7A45"/>
    <w:rsid w:val="004C40B7"/>
    <w:rsid w:val="004C5C10"/>
    <w:rsid w:val="004C5C44"/>
    <w:rsid w:val="004D045B"/>
    <w:rsid w:val="004D148F"/>
    <w:rsid w:val="004D2050"/>
    <w:rsid w:val="004D2995"/>
    <w:rsid w:val="004D3921"/>
    <w:rsid w:val="004D39EB"/>
    <w:rsid w:val="004D5025"/>
    <w:rsid w:val="004D7EBC"/>
    <w:rsid w:val="004E1539"/>
    <w:rsid w:val="004E2AB0"/>
    <w:rsid w:val="004E59DE"/>
    <w:rsid w:val="004E7C78"/>
    <w:rsid w:val="004F1E80"/>
    <w:rsid w:val="004F450C"/>
    <w:rsid w:val="004F48D1"/>
    <w:rsid w:val="004F642C"/>
    <w:rsid w:val="00501180"/>
    <w:rsid w:val="00503E32"/>
    <w:rsid w:val="005046BD"/>
    <w:rsid w:val="00507BB8"/>
    <w:rsid w:val="005132F1"/>
    <w:rsid w:val="00513642"/>
    <w:rsid w:val="00520A67"/>
    <w:rsid w:val="0052149F"/>
    <w:rsid w:val="00531DE6"/>
    <w:rsid w:val="00536B14"/>
    <w:rsid w:val="0053788F"/>
    <w:rsid w:val="00537E3D"/>
    <w:rsid w:val="00541013"/>
    <w:rsid w:val="00542971"/>
    <w:rsid w:val="005460F6"/>
    <w:rsid w:val="00546444"/>
    <w:rsid w:val="00555589"/>
    <w:rsid w:val="00570178"/>
    <w:rsid w:val="00570729"/>
    <w:rsid w:val="0057187F"/>
    <w:rsid w:val="00574D74"/>
    <w:rsid w:val="005757CF"/>
    <w:rsid w:val="00576F68"/>
    <w:rsid w:val="00577E85"/>
    <w:rsid w:val="00577FCE"/>
    <w:rsid w:val="00582DFB"/>
    <w:rsid w:val="005833B4"/>
    <w:rsid w:val="005850DE"/>
    <w:rsid w:val="0058527B"/>
    <w:rsid w:val="00585E96"/>
    <w:rsid w:val="005919C5"/>
    <w:rsid w:val="00591CBC"/>
    <w:rsid w:val="00594F2C"/>
    <w:rsid w:val="0059601A"/>
    <w:rsid w:val="005A4686"/>
    <w:rsid w:val="005B2079"/>
    <w:rsid w:val="005B71A0"/>
    <w:rsid w:val="005C0606"/>
    <w:rsid w:val="005C3AC8"/>
    <w:rsid w:val="005C4ABC"/>
    <w:rsid w:val="005D1F4F"/>
    <w:rsid w:val="005D45D8"/>
    <w:rsid w:val="005D6E9C"/>
    <w:rsid w:val="005D6FAA"/>
    <w:rsid w:val="005D7438"/>
    <w:rsid w:val="005E0DAA"/>
    <w:rsid w:val="005E3DB9"/>
    <w:rsid w:val="005E5CBD"/>
    <w:rsid w:val="005E7E49"/>
    <w:rsid w:val="005F05FB"/>
    <w:rsid w:val="005F33E0"/>
    <w:rsid w:val="005F3F19"/>
    <w:rsid w:val="005F7159"/>
    <w:rsid w:val="005F7C73"/>
    <w:rsid w:val="005F7E40"/>
    <w:rsid w:val="00600525"/>
    <w:rsid w:val="0060067A"/>
    <w:rsid w:val="00600A7C"/>
    <w:rsid w:val="006051D3"/>
    <w:rsid w:val="006076E2"/>
    <w:rsid w:val="0061198F"/>
    <w:rsid w:val="00615D27"/>
    <w:rsid w:val="006265C8"/>
    <w:rsid w:val="00631B4B"/>
    <w:rsid w:val="006350E8"/>
    <w:rsid w:val="00635887"/>
    <w:rsid w:val="00637617"/>
    <w:rsid w:val="00637B20"/>
    <w:rsid w:val="0064524D"/>
    <w:rsid w:val="0065240D"/>
    <w:rsid w:val="0065406C"/>
    <w:rsid w:val="006628C0"/>
    <w:rsid w:val="0066485B"/>
    <w:rsid w:val="00667F8A"/>
    <w:rsid w:val="0067090A"/>
    <w:rsid w:val="00670D59"/>
    <w:rsid w:val="00675123"/>
    <w:rsid w:val="00675374"/>
    <w:rsid w:val="00676DA7"/>
    <w:rsid w:val="006808A5"/>
    <w:rsid w:val="0068365B"/>
    <w:rsid w:val="006853E1"/>
    <w:rsid w:val="0068642F"/>
    <w:rsid w:val="00691E78"/>
    <w:rsid w:val="006920CE"/>
    <w:rsid w:val="00693297"/>
    <w:rsid w:val="00693ED8"/>
    <w:rsid w:val="00694687"/>
    <w:rsid w:val="006A058D"/>
    <w:rsid w:val="006A1DF6"/>
    <w:rsid w:val="006A45FE"/>
    <w:rsid w:val="006B1CA5"/>
    <w:rsid w:val="006B1EEF"/>
    <w:rsid w:val="006B226A"/>
    <w:rsid w:val="006B2C65"/>
    <w:rsid w:val="006B6406"/>
    <w:rsid w:val="006C171E"/>
    <w:rsid w:val="006C1BEB"/>
    <w:rsid w:val="006C6987"/>
    <w:rsid w:val="006C70E8"/>
    <w:rsid w:val="006C7CB3"/>
    <w:rsid w:val="006D2EE9"/>
    <w:rsid w:val="006D58B1"/>
    <w:rsid w:val="006E042A"/>
    <w:rsid w:val="006E274E"/>
    <w:rsid w:val="006E446E"/>
    <w:rsid w:val="006E4959"/>
    <w:rsid w:val="006E569A"/>
    <w:rsid w:val="006E6F15"/>
    <w:rsid w:val="006E7EAC"/>
    <w:rsid w:val="006F75A2"/>
    <w:rsid w:val="0070334C"/>
    <w:rsid w:val="00703616"/>
    <w:rsid w:val="00703D11"/>
    <w:rsid w:val="00704843"/>
    <w:rsid w:val="00704F85"/>
    <w:rsid w:val="0071162F"/>
    <w:rsid w:val="007120DB"/>
    <w:rsid w:val="0071368D"/>
    <w:rsid w:val="0071380A"/>
    <w:rsid w:val="0071384C"/>
    <w:rsid w:val="007208EC"/>
    <w:rsid w:val="00720DD2"/>
    <w:rsid w:val="007236A3"/>
    <w:rsid w:val="00732CC8"/>
    <w:rsid w:val="00735B74"/>
    <w:rsid w:val="00735D13"/>
    <w:rsid w:val="00743C95"/>
    <w:rsid w:val="007446BE"/>
    <w:rsid w:val="0074564D"/>
    <w:rsid w:val="00745CCF"/>
    <w:rsid w:val="007470FC"/>
    <w:rsid w:val="007473F3"/>
    <w:rsid w:val="007478A8"/>
    <w:rsid w:val="00747E59"/>
    <w:rsid w:val="0075344B"/>
    <w:rsid w:val="007535FE"/>
    <w:rsid w:val="00761ACE"/>
    <w:rsid w:val="00765F20"/>
    <w:rsid w:val="007664B1"/>
    <w:rsid w:val="007717D9"/>
    <w:rsid w:val="00771EED"/>
    <w:rsid w:val="007731DD"/>
    <w:rsid w:val="00774417"/>
    <w:rsid w:val="00777CC0"/>
    <w:rsid w:val="00781210"/>
    <w:rsid w:val="007820E9"/>
    <w:rsid w:val="00782DDD"/>
    <w:rsid w:val="00785B5C"/>
    <w:rsid w:val="0079546D"/>
    <w:rsid w:val="007A04E3"/>
    <w:rsid w:val="007A2286"/>
    <w:rsid w:val="007A73C1"/>
    <w:rsid w:val="007B41CB"/>
    <w:rsid w:val="007B4282"/>
    <w:rsid w:val="007B6DDB"/>
    <w:rsid w:val="007C21FE"/>
    <w:rsid w:val="007C355B"/>
    <w:rsid w:val="007C49EF"/>
    <w:rsid w:val="007C62E2"/>
    <w:rsid w:val="007D543B"/>
    <w:rsid w:val="007D644B"/>
    <w:rsid w:val="007D7183"/>
    <w:rsid w:val="007E0547"/>
    <w:rsid w:val="007E1B69"/>
    <w:rsid w:val="007E68DD"/>
    <w:rsid w:val="007E6A9A"/>
    <w:rsid w:val="007E7736"/>
    <w:rsid w:val="007F326E"/>
    <w:rsid w:val="008010B9"/>
    <w:rsid w:val="008034DB"/>
    <w:rsid w:val="00804C2B"/>
    <w:rsid w:val="008077CD"/>
    <w:rsid w:val="00812781"/>
    <w:rsid w:val="008153F2"/>
    <w:rsid w:val="00821BCA"/>
    <w:rsid w:val="0082328A"/>
    <w:rsid w:val="00824787"/>
    <w:rsid w:val="00824988"/>
    <w:rsid w:val="00825320"/>
    <w:rsid w:val="008260DF"/>
    <w:rsid w:val="00834689"/>
    <w:rsid w:val="00835D72"/>
    <w:rsid w:val="008416C4"/>
    <w:rsid w:val="00846E28"/>
    <w:rsid w:val="0084730B"/>
    <w:rsid w:val="00853686"/>
    <w:rsid w:val="00856CB3"/>
    <w:rsid w:val="00857044"/>
    <w:rsid w:val="00861065"/>
    <w:rsid w:val="00861C99"/>
    <w:rsid w:val="0086207A"/>
    <w:rsid w:val="0086346C"/>
    <w:rsid w:val="00864917"/>
    <w:rsid w:val="00867308"/>
    <w:rsid w:val="00867BBC"/>
    <w:rsid w:val="00870789"/>
    <w:rsid w:val="00870D95"/>
    <w:rsid w:val="008728EE"/>
    <w:rsid w:val="008734E1"/>
    <w:rsid w:val="0087383D"/>
    <w:rsid w:val="00874051"/>
    <w:rsid w:val="00874A03"/>
    <w:rsid w:val="0087574E"/>
    <w:rsid w:val="00884B3E"/>
    <w:rsid w:val="008851D0"/>
    <w:rsid w:val="00885BFB"/>
    <w:rsid w:val="00897D12"/>
    <w:rsid w:val="008A012F"/>
    <w:rsid w:val="008A074F"/>
    <w:rsid w:val="008A49C9"/>
    <w:rsid w:val="008A4C17"/>
    <w:rsid w:val="008A7B3A"/>
    <w:rsid w:val="008B026E"/>
    <w:rsid w:val="008B2ADE"/>
    <w:rsid w:val="008B3986"/>
    <w:rsid w:val="008B49A7"/>
    <w:rsid w:val="008B6D5A"/>
    <w:rsid w:val="008C1D78"/>
    <w:rsid w:val="008C2546"/>
    <w:rsid w:val="008C2BBF"/>
    <w:rsid w:val="008C52E7"/>
    <w:rsid w:val="008C5529"/>
    <w:rsid w:val="008C5730"/>
    <w:rsid w:val="008C6CF4"/>
    <w:rsid w:val="008C7218"/>
    <w:rsid w:val="008D0505"/>
    <w:rsid w:val="008D14F0"/>
    <w:rsid w:val="008D22B2"/>
    <w:rsid w:val="008D276A"/>
    <w:rsid w:val="008D311D"/>
    <w:rsid w:val="008D49DF"/>
    <w:rsid w:val="008D5662"/>
    <w:rsid w:val="008E10AD"/>
    <w:rsid w:val="008E1C1C"/>
    <w:rsid w:val="008E1DB3"/>
    <w:rsid w:val="008E2A78"/>
    <w:rsid w:val="008E3E8A"/>
    <w:rsid w:val="008E414A"/>
    <w:rsid w:val="008E4CE1"/>
    <w:rsid w:val="008E5B74"/>
    <w:rsid w:val="008E74B4"/>
    <w:rsid w:val="008E78C1"/>
    <w:rsid w:val="008F2D08"/>
    <w:rsid w:val="008F38DF"/>
    <w:rsid w:val="008F5627"/>
    <w:rsid w:val="008F5EC7"/>
    <w:rsid w:val="008F6014"/>
    <w:rsid w:val="008F74BD"/>
    <w:rsid w:val="008F7C4F"/>
    <w:rsid w:val="008F7FA7"/>
    <w:rsid w:val="00900BDC"/>
    <w:rsid w:val="009024CE"/>
    <w:rsid w:val="00905C17"/>
    <w:rsid w:val="00913000"/>
    <w:rsid w:val="00914860"/>
    <w:rsid w:val="00916C2F"/>
    <w:rsid w:val="0092162B"/>
    <w:rsid w:val="009233F7"/>
    <w:rsid w:val="00926588"/>
    <w:rsid w:val="00926893"/>
    <w:rsid w:val="0093238A"/>
    <w:rsid w:val="00933449"/>
    <w:rsid w:val="00935304"/>
    <w:rsid w:val="00936AAA"/>
    <w:rsid w:val="00937EEF"/>
    <w:rsid w:val="00940E89"/>
    <w:rsid w:val="009430E6"/>
    <w:rsid w:val="00945041"/>
    <w:rsid w:val="0094589D"/>
    <w:rsid w:val="009462AC"/>
    <w:rsid w:val="009471A0"/>
    <w:rsid w:val="00953D2D"/>
    <w:rsid w:val="00956C30"/>
    <w:rsid w:val="00962296"/>
    <w:rsid w:val="0096309E"/>
    <w:rsid w:val="00967F9B"/>
    <w:rsid w:val="009705C5"/>
    <w:rsid w:val="0097085C"/>
    <w:rsid w:val="00970FDF"/>
    <w:rsid w:val="0097186A"/>
    <w:rsid w:val="009760D2"/>
    <w:rsid w:val="009805D2"/>
    <w:rsid w:val="009857F3"/>
    <w:rsid w:val="00987587"/>
    <w:rsid w:val="00987AD6"/>
    <w:rsid w:val="00987FDA"/>
    <w:rsid w:val="00995F9E"/>
    <w:rsid w:val="009A1994"/>
    <w:rsid w:val="009A22E3"/>
    <w:rsid w:val="009A4BD3"/>
    <w:rsid w:val="009A6A94"/>
    <w:rsid w:val="009A6F9B"/>
    <w:rsid w:val="009B0744"/>
    <w:rsid w:val="009B1F45"/>
    <w:rsid w:val="009B398E"/>
    <w:rsid w:val="009B6620"/>
    <w:rsid w:val="009B6906"/>
    <w:rsid w:val="009B6EF7"/>
    <w:rsid w:val="009C0318"/>
    <w:rsid w:val="009C26A9"/>
    <w:rsid w:val="009C438C"/>
    <w:rsid w:val="009C6761"/>
    <w:rsid w:val="009D1D29"/>
    <w:rsid w:val="009D3275"/>
    <w:rsid w:val="009D3A70"/>
    <w:rsid w:val="009D450E"/>
    <w:rsid w:val="009D4AA0"/>
    <w:rsid w:val="009D5B08"/>
    <w:rsid w:val="009D6DB5"/>
    <w:rsid w:val="009E0C2F"/>
    <w:rsid w:val="009E21E1"/>
    <w:rsid w:val="009E365F"/>
    <w:rsid w:val="009E3F5A"/>
    <w:rsid w:val="009E4236"/>
    <w:rsid w:val="009E55F7"/>
    <w:rsid w:val="009E665B"/>
    <w:rsid w:val="009E6A8D"/>
    <w:rsid w:val="009E6E36"/>
    <w:rsid w:val="009F15FD"/>
    <w:rsid w:val="009F4500"/>
    <w:rsid w:val="00A07A36"/>
    <w:rsid w:val="00A07D81"/>
    <w:rsid w:val="00A1760E"/>
    <w:rsid w:val="00A1775E"/>
    <w:rsid w:val="00A22AAC"/>
    <w:rsid w:val="00A22E9D"/>
    <w:rsid w:val="00A23B13"/>
    <w:rsid w:val="00A24F24"/>
    <w:rsid w:val="00A2593F"/>
    <w:rsid w:val="00A27494"/>
    <w:rsid w:val="00A2762E"/>
    <w:rsid w:val="00A33EC8"/>
    <w:rsid w:val="00A35649"/>
    <w:rsid w:val="00A35B55"/>
    <w:rsid w:val="00A3701F"/>
    <w:rsid w:val="00A43440"/>
    <w:rsid w:val="00A436FB"/>
    <w:rsid w:val="00A475E7"/>
    <w:rsid w:val="00A51517"/>
    <w:rsid w:val="00A56873"/>
    <w:rsid w:val="00A61712"/>
    <w:rsid w:val="00A6296D"/>
    <w:rsid w:val="00A639B7"/>
    <w:rsid w:val="00A63D21"/>
    <w:rsid w:val="00A64251"/>
    <w:rsid w:val="00A746DE"/>
    <w:rsid w:val="00A74B5C"/>
    <w:rsid w:val="00A75A67"/>
    <w:rsid w:val="00A768B5"/>
    <w:rsid w:val="00A779FF"/>
    <w:rsid w:val="00A81158"/>
    <w:rsid w:val="00A85B81"/>
    <w:rsid w:val="00A871BB"/>
    <w:rsid w:val="00A874D1"/>
    <w:rsid w:val="00A950B0"/>
    <w:rsid w:val="00AA01A1"/>
    <w:rsid w:val="00AA1151"/>
    <w:rsid w:val="00AA4223"/>
    <w:rsid w:val="00AB01FB"/>
    <w:rsid w:val="00AB60FD"/>
    <w:rsid w:val="00AB6F8C"/>
    <w:rsid w:val="00AC0B6F"/>
    <w:rsid w:val="00AC3937"/>
    <w:rsid w:val="00AC66C8"/>
    <w:rsid w:val="00AC7BA8"/>
    <w:rsid w:val="00AD00E8"/>
    <w:rsid w:val="00AD1E26"/>
    <w:rsid w:val="00AD46F3"/>
    <w:rsid w:val="00AE1D24"/>
    <w:rsid w:val="00AE3895"/>
    <w:rsid w:val="00AE542E"/>
    <w:rsid w:val="00AE5459"/>
    <w:rsid w:val="00AF0382"/>
    <w:rsid w:val="00AF05D2"/>
    <w:rsid w:val="00AF30AF"/>
    <w:rsid w:val="00AF6D65"/>
    <w:rsid w:val="00AF762E"/>
    <w:rsid w:val="00B03D74"/>
    <w:rsid w:val="00B05314"/>
    <w:rsid w:val="00B07769"/>
    <w:rsid w:val="00B10E27"/>
    <w:rsid w:val="00B130F9"/>
    <w:rsid w:val="00B2025E"/>
    <w:rsid w:val="00B2067F"/>
    <w:rsid w:val="00B21F87"/>
    <w:rsid w:val="00B238D9"/>
    <w:rsid w:val="00B24643"/>
    <w:rsid w:val="00B255AA"/>
    <w:rsid w:val="00B3002D"/>
    <w:rsid w:val="00B41235"/>
    <w:rsid w:val="00B4131B"/>
    <w:rsid w:val="00B429A7"/>
    <w:rsid w:val="00B42BA1"/>
    <w:rsid w:val="00B4506F"/>
    <w:rsid w:val="00B46D28"/>
    <w:rsid w:val="00B47F4A"/>
    <w:rsid w:val="00B50850"/>
    <w:rsid w:val="00B52F85"/>
    <w:rsid w:val="00B53D10"/>
    <w:rsid w:val="00B55FAF"/>
    <w:rsid w:val="00B60463"/>
    <w:rsid w:val="00B61E5C"/>
    <w:rsid w:val="00B6200E"/>
    <w:rsid w:val="00B641BF"/>
    <w:rsid w:val="00B67D4B"/>
    <w:rsid w:val="00B70435"/>
    <w:rsid w:val="00B70BC3"/>
    <w:rsid w:val="00B73749"/>
    <w:rsid w:val="00B76A43"/>
    <w:rsid w:val="00B829EA"/>
    <w:rsid w:val="00B82DEF"/>
    <w:rsid w:val="00B835D5"/>
    <w:rsid w:val="00B86B9A"/>
    <w:rsid w:val="00B87228"/>
    <w:rsid w:val="00B92BCE"/>
    <w:rsid w:val="00B97A61"/>
    <w:rsid w:val="00BA2279"/>
    <w:rsid w:val="00BA31CF"/>
    <w:rsid w:val="00BA36A5"/>
    <w:rsid w:val="00BA56E7"/>
    <w:rsid w:val="00BA651C"/>
    <w:rsid w:val="00BA77CD"/>
    <w:rsid w:val="00BA7F53"/>
    <w:rsid w:val="00BB1BDF"/>
    <w:rsid w:val="00BB5696"/>
    <w:rsid w:val="00BB668F"/>
    <w:rsid w:val="00BB687C"/>
    <w:rsid w:val="00BC07BD"/>
    <w:rsid w:val="00BC3920"/>
    <w:rsid w:val="00BC54E5"/>
    <w:rsid w:val="00BC557D"/>
    <w:rsid w:val="00BC689D"/>
    <w:rsid w:val="00BD0D91"/>
    <w:rsid w:val="00BD0EAF"/>
    <w:rsid w:val="00BD1074"/>
    <w:rsid w:val="00BD1A9B"/>
    <w:rsid w:val="00BD23D6"/>
    <w:rsid w:val="00BD3541"/>
    <w:rsid w:val="00BD3A43"/>
    <w:rsid w:val="00BE4250"/>
    <w:rsid w:val="00BE5BA7"/>
    <w:rsid w:val="00BF0F93"/>
    <w:rsid w:val="00BF2554"/>
    <w:rsid w:val="00BF2A4B"/>
    <w:rsid w:val="00BF2FB7"/>
    <w:rsid w:val="00BF3825"/>
    <w:rsid w:val="00BF4AE9"/>
    <w:rsid w:val="00BF5236"/>
    <w:rsid w:val="00BF5310"/>
    <w:rsid w:val="00BF64F3"/>
    <w:rsid w:val="00C0081D"/>
    <w:rsid w:val="00C01DF1"/>
    <w:rsid w:val="00C05D9B"/>
    <w:rsid w:val="00C0729F"/>
    <w:rsid w:val="00C1101A"/>
    <w:rsid w:val="00C1145C"/>
    <w:rsid w:val="00C11C09"/>
    <w:rsid w:val="00C11F95"/>
    <w:rsid w:val="00C124E6"/>
    <w:rsid w:val="00C13A6E"/>
    <w:rsid w:val="00C202BD"/>
    <w:rsid w:val="00C20E44"/>
    <w:rsid w:val="00C213D2"/>
    <w:rsid w:val="00C21F5F"/>
    <w:rsid w:val="00C24595"/>
    <w:rsid w:val="00C24EB3"/>
    <w:rsid w:val="00C27481"/>
    <w:rsid w:val="00C3051C"/>
    <w:rsid w:val="00C335C5"/>
    <w:rsid w:val="00C34DBB"/>
    <w:rsid w:val="00C3519C"/>
    <w:rsid w:val="00C4140C"/>
    <w:rsid w:val="00C414D3"/>
    <w:rsid w:val="00C4587E"/>
    <w:rsid w:val="00C479BF"/>
    <w:rsid w:val="00C51681"/>
    <w:rsid w:val="00C51B03"/>
    <w:rsid w:val="00C51FD6"/>
    <w:rsid w:val="00C526A2"/>
    <w:rsid w:val="00C54BDB"/>
    <w:rsid w:val="00C56997"/>
    <w:rsid w:val="00C62793"/>
    <w:rsid w:val="00C62CE1"/>
    <w:rsid w:val="00C662FA"/>
    <w:rsid w:val="00C70331"/>
    <w:rsid w:val="00C77C93"/>
    <w:rsid w:val="00C80E70"/>
    <w:rsid w:val="00C83648"/>
    <w:rsid w:val="00C83CBC"/>
    <w:rsid w:val="00C8449B"/>
    <w:rsid w:val="00C857DF"/>
    <w:rsid w:val="00C900B9"/>
    <w:rsid w:val="00C91C68"/>
    <w:rsid w:val="00CA0023"/>
    <w:rsid w:val="00CA01C2"/>
    <w:rsid w:val="00CA40EB"/>
    <w:rsid w:val="00CB1443"/>
    <w:rsid w:val="00CB7B29"/>
    <w:rsid w:val="00CC42C3"/>
    <w:rsid w:val="00CC43C3"/>
    <w:rsid w:val="00CD0707"/>
    <w:rsid w:val="00CD3D72"/>
    <w:rsid w:val="00CD4523"/>
    <w:rsid w:val="00CD4560"/>
    <w:rsid w:val="00CD55C8"/>
    <w:rsid w:val="00CE18C6"/>
    <w:rsid w:val="00CF12CD"/>
    <w:rsid w:val="00CF1778"/>
    <w:rsid w:val="00CF1B41"/>
    <w:rsid w:val="00CF4BF1"/>
    <w:rsid w:val="00CF4EEA"/>
    <w:rsid w:val="00CF52E7"/>
    <w:rsid w:val="00CF57FE"/>
    <w:rsid w:val="00CF5B9E"/>
    <w:rsid w:val="00CF657D"/>
    <w:rsid w:val="00D0011E"/>
    <w:rsid w:val="00D04FD5"/>
    <w:rsid w:val="00D11000"/>
    <w:rsid w:val="00D1324B"/>
    <w:rsid w:val="00D14910"/>
    <w:rsid w:val="00D15ABB"/>
    <w:rsid w:val="00D15F85"/>
    <w:rsid w:val="00D16044"/>
    <w:rsid w:val="00D167A7"/>
    <w:rsid w:val="00D21FC5"/>
    <w:rsid w:val="00D25F0A"/>
    <w:rsid w:val="00D275F3"/>
    <w:rsid w:val="00D32253"/>
    <w:rsid w:val="00D32360"/>
    <w:rsid w:val="00D32B10"/>
    <w:rsid w:val="00D34A2A"/>
    <w:rsid w:val="00D34FDC"/>
    <w:rsid w:val="00D353AF"/>
    <w:rsid w:val="00D36D41"/>
    <w:rsid w:val="00D36F1F"/>
    <w:rsid w:val="00D40E88"/>
    <w:rsid w:val="00D413BC"/>
    <w:rsid w:val="00D41B67"/>
    <w:rsid w:val="00D42EF7"/>
    <w:rsid w:val="00D4464F"/>
    <w:rsid w:val="00D469AD"/>
    <w:rsid w:val="00D47064"/>
    <w:rsid w:val="00D53CCD"/>
    <w:rsid w:val="00D53DC3"/>
    <w:rsid w:val="00D5506A"/>
    <w:rsid w:val="00D57337"/>
    <w:rsid w:val="00D5746D"/>
    <w:rsid w:val="00D62B0B"/>
    <w:rsid w:val="00D63557"/>
    <w:rsid w:val="00D64F02"/>
    <w:rsid w:val="00D65CF7"/>
    <w:rsid w:val="00D67260"/>
    <w:rsid w:val="00D6771E"/>
    <w:rsid w:val="00D67DFA"/>
    <w:rsid w:val="00D73371"/>
    <w:rsid w:val="00D73482"/>
    <w:rsid w:val="00D74249"/>
    <w:rsid w:val="00D750DB"/>
    <w:rsid w:val="00D754E9"/>
    <w:rsid w:val="00D81A24"/>
    <w:rsid w:val="00D83FF1"/>
    <w:rsid w:val="00D93094"/>
    <w:rsid w:val="00D931C3"/>
    <w:rsid w:val="00D94248"/>
    <w:rsid w:val="00D94287"/>
    <w:rsid w:val="00D95686"/>
    <w:rsid w:val="00D958A3"/>
    <w:rsid w:val="00DA0C2E"/>
    <w:rsid w:val="00DA44EE"/>
    <w:rsid w:val="00DA7173"/>
    <w:rsid w:val="00DB4C4A"/>
    <w:rsid w:val="00DB5854"/>
    <w:rsid w:val="00DB6DE6"/>
    <w:rsid w:val="00DC0FD8"/>
    <w:rsid w:val="00DC2A19"/>
    <w:rsid w:val="00DC310C"/>
    <w:rsid w:val="00DC68B8"/>
    <w:rsid w:val="00DD1B09"/>
    <w:rsid w:val="00DD5B39"/>
    <w:rsid w:val="00DE0716"/>
    <w:rsid w:val="00DE50F5"/>
    <w:rsid w:val="00DE5BF8"/>
    <w:rsid w:val="00DE5E3B"/>
    <w:rsid w:val="00DE6144"/>
    <w:rsid w:val="00DF0760"/>
    <w:rsid w:val="00DF22AB"/>
    <w:rsid w:val="00DF270D"/>
    <w:rsid w:val="00E01337"/>
    <w:rsid w:val="00E041F4"/>
    <w:rsid w:val="00E04977"/>
    <w:rsid w:val="00E1163D"/>
    <w:rsid w:val="00E12048"/>
    <w:rsid w:val="00E15450"/>
    <w:rsid w:val="00E167D0"/>
    <w:rsid w:val="00E21199"/>
    <w:rsid w:val="00E228CF"/>
    <w:rsid w:val="00E240AA"/>
    <w:rsid w:val="00E305DD"/>
    <w:rsid w:val="00E379A9"/>
    <w:rsid w:val="00E41CD9"/>
    <w:rsid w:val="00E47BC7"/>
    <w:rsid w:val="00E47CF0"/>
    <w:rsid w:val="00E51AB3"/>
    <w:rsid w:val="00E51D86"/>
    <w:rsid w:val="00E520F5"/>
    <w:rsid w:val="00E52745"/>
    <w:rsid w:val="00E52879"/>
    <w:rsid w:val="00E54819"/>
    <w:rsid w:val="00E5576F"/>
    <w:rsid w:val="00E56016"/>
    <w:rsid w:val="00E5673E"/>
    <w:rsid w:val="00E624A4"/>
    <w:rsid w:val="00E625A4"/>
    <w:rsid w:val="00E63049"/>
    <w:rsid w:val="00E64BA8"/>
    <w:rsid w:val="00E664B0"/>
    <w:rsid w:val="00E706A8"/>
    <w:rsid w:val="00E71C51"/>
    <w:rsid w:val="00E7251A"/>
    <w:rsid w:val="00E72B32"/>
    <w:rsid w:val="00E72F69"/>
    <w:rsid w:val="00E810B3"/>
    <w:rsid w:val="00E81B00"/>
    <w:rsid w:val="00E83BAD"/>
    <w:rsid w:val="00E93E0F"/>
    <w:rsid w:val="00E93F89"/>
    <w:rsid w:val="00EA02AF"/>
    <w:rsid w:val="00EA0FCF"/>
    <w:rsid w:val="00EA17C0"/>
    <w:rsid w:val="00EA1EEA"/>
    <w:rsid w:val="00EA4B5E"/>
    <w:rsid w:val="00EB0657"/>
    <w:rsid w:val="00EB07F9"/>
    <w:rsid w:val="00EB31A4"/>
    <w:rsid w:val="00EB60BD"/>
    <w:rsid w:val="00EB7495"/>
    <w:rsid w:val="00EC06EA"/>
    <w:rsid w:val="00EC0761"/>
    <w:rsid w:val="00EC187E"/>
    <w:rsid w:val="00EC3755"/>
    <w:rsid w:val="00EC446C"/>
    <w:rsid w:val="00ED4215"/>
    <w:rsid w:val="00ED4400"/>
    <w:rsid w:val="00EE3090"/>
    <w:rsid w:val="00EE794F"/>
    <w:rsid w:val="00EF04CF"/>
    <w:rsid w:val="00EF0751"/>
    <w:rsid w:val="00EF1B03"/>
    <w:rsid w:val="00EF1DC1"/>
    <w:rsid w:val="00EF45C0"/>
    <w:rsid w:val="00F11124"/>
    <w:rsid w:val="00F1197F"/>
    <w:rsid w:val="00F12A7F"/>
    <w:rsid w:val="00F15770"/>
    <w:rsid w:val="00F2299D"/>
    <w:rsid w:val="00F23FC2"/>
    <w:rsid w:val="00F24A13"/>
    <w:rsid w:val="00F255DA"/>
    <w:rsid w:val="00F26EE1"/>
    <w:rsid w:val="00F31285"/>
    <w:rsid w:val="00F336B4"/>
    <w:rsid w:val="00F3421C"/>
    <w:rsid w:val="00F43972"/>
    <w:rsid w:val="00F452C2"/>
    <w:rsid w:val="00F4653E"/>
    <w:rsid w:val="00F46FC3"/>
    <w:rsid w:val="00F53C65"/>
    <w:rsid w:val="00F561A8"/>
    <w:rsid w:val="00F56875"/>
    <w:rsid w:val="00F615F3"/>
    <w:rsid w:val="00F64A8D"/>
    <w:rsid w:val="00F66F24"/>
    <w:rsid w:val="00F678E0"/>
    <w:rsid w:val="00F701EF"/>
    <w:rsid w:val="00F70694"/>
    <w:rsid w:val="00F713E8"/>
    <w:rsid w:val="00F730EE"/>
    <w:rsid w:val="00F734C6"/>
    <w:rsid w:val="00F7443B"/>
    <w:rsid w:val="00F80A7F"/>
    <w:rsid w:val="00F82D1C"/>
    <w:rsid w:val="00F8563A"/>
    <w:rsid w:val="00F859F0"/>
    <w:rsid w:val="00F865CF"/>
    <w:rsid w:val="00F87311"/>
    <w:rsid w:val="00F903F5"/>
    <w:rsid w:val="00F94A94"/>
    <w:rsid w:val="00F95167"/>
    <w:rsid w:val="00FA1B75"/>
    <w:rsid w:val="00FA26D0"/>
    <w:rsid w:val="00FA3F3C"/>
    <w:rsid w:val="00FA5A1C"/>
    <w:rsid w:val="00FA7265"/>
    <w:rsid w:val="00FA7BCE"/>
    <w:rsid w:val="00FB185A"/>
    <w:rsid w:val="00FB429D"/>
    <w:rsid w:val="00FB5C9E"/>
    <w:rsid w:val="00FB701F"/>
    <w:rsid w:val="00FC010A"/>
    <w:rsid w:val="00FC0613"/>
    <w:rsid w:val="00FC1891"/>
    <w:rsid w:val="00FC1E4F"/>
    <w:rsid w:val="00FC46F6"/>
    <w:rsid w:val="00FD2EC6"/>
    <w:rsid w:val="00FD3197"/>
    <w:rsid w:val="00FE00DE"/>
    <w:rsid w:val="00FE1214"/>
    <w:rsid w:val="00FE1A20"/>
    <w:rsid w:val="00FE4C6D"/>
    <w:rsid w:val="00FE78BA"/>
    <w:rsid w:val="00FE7968"/>
    <w:rsid w:val="00FF1BEB"/>
    <w:rsid w:val="00FF2263"/>
    <w:rsid w:val="00FF56BD"/>
    <w:rsid w:val="00FF57AD"/>
  </w:rsids>
  <m:mathPr>
    <m:mathFont m:val="Cambria Math"/>
    <m:brkBin m:val="before"/>
    <m:brkBinSub m:val="--"/>
    <m:smallFrac m:val="0"/>
    <m:dispDef/>
    <m:lMargin m:val="0"/>
    <m:rMargin m:val="0"/>
    <m:defJc m:val="centerGroup"/>
    <m:wrapIndent m:val="1440"/>
    <m:intLim m:val="subSup"/>
    <m:naryLim m:val="undOvr"/>
  </m:mathPr>
  <w:themeFontLang w:val="mk-MK"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828F0"/>
  <w15:docId w15:val="{B8DE0EC3-43C8-4FA0-A247-23A32BD5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643"/>
    <w:pPr>
      <w:jc w:val="both"/>
    </w:pPr>
    <w:rPr>
      <w:rFonts w:ascii="Cambria" w:hAnsi="Cambria"/>
      <w:sz w:val="22"/>
      <w:szCs w:val="24"/>
      <w:lang w:val="en-GB" w:eastAsia="en-US"/>
    </w:rPr>
  </w:style>
  <w:style w:type="paragraph" w:styleId="Heading1">
    <w:name w:val="heading 1"/>
    <w:basedOn w:val="Normal"/>
    <w:next w:val="Normal"/>
    <w:link w:val="Heading1Char"/>
    <w:qFormat/>
    <w:rsid w:val="00232B24"/>
    <w:pPr>
      <w:keepNext/>
      <w:spacing w:before="240" w:after="60"/>
      <w:outlineLvl w:val="0"/>
    </w:pPr>
    <w:rPr>
      <w:rFonts w:cs="Arial"/>
      <w:b/>
      <w:bCs/>
      <w:kern w:val="32"/>
      <w:sz w:val="28"/>
      <w:szCs w:val="32"/>
      <w:lang w:val="en-US"/>
    </w:rPr>
  </w:style>
  <w:style w:type="paragraph" w:styleId="Heading2">
    <w:name w:val="heading 2"/>
    <w:basedOn w:val="Normal"/>
    <w:next w:val="Normal"/>
    <w:link w:val="Heading2Char"/>
    <w:qFormat/>
    <w:rsid w:val="00232B24"/>
    <w:pPr>
      <w:outlineLvl w:val="1"/>
    </w:pPr>
    <w:rPr>
      <w:b/>
      <w:lang w:val="en-US"/>
    </w:rPr>
  </w:style>
  <w:style w:type="paragraph" w:styleId="Heading3">
    <w:name w:val="heading 3"/>
    <w:basedOn w:val="Normal"/>
    <w:next w:val="Normal"/>
    <w:link w:val="Heading3Char"/>
    <w:semiHidden/>
    <w:unhideWhenUsed/>
    <w:qFormat/>
    <w:rsid w:val="006628C0"/>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8536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7EBC"/>
    <w:pPr>
      <w:tabs>
        <w:tab w:val="center" w:pos="4153"/>
        <w:tab w:val="right" w:pos="8306"/>
      </w:tabs>
    </w:pPr>
  </w:style>
  <w:style w:type="paragraph" w:styleId="Footer">
    <w:name w:val="footer"/>
    <w:basedOn w:val="Normal"/>
    <w:link w:val="FooterChar"/>
    <w:uiPriority w:val="99"/>
    <w:rsid w:val="004D7EBC"/>
    <w:pPr>
      <w:tabs>
        <w:tab w:val="center" w:pos="4153"/>
        <w:tab w:val="right" w:pos="8306"/>
      </w:tabs>
    </w:pPr>
  </w:style>
  <w:style w:type="paragraph" w:styleId="Title">
    <w:name w:val="Title"/>
    <w:basedOn w:val="Normal"/>
    <w:qFormat/>
    <w:rsid w:val="004D7EBC"/>
    <w:pPr>
      <w:jc w:val="center"/>
    </w:pPr>
    <w:rPr>
      <w:b/>
      <w:bCs/>
      <w:sz w:val="32"/>
      <w:lang w:val="ro-RO"/>
    </w:rPr>
  </w:style>
  <w:style w:type="paragraph" w:customStyle="1" w:styleId="COEHeading1">
    <w:name w:val="COE_Heading1"/>
    <w:basedOn w:val="Normal"/>
    <w:rsid w:val="00E83BAD"/>
    <w:rPr>
      <w:b/>
      <w:sz w:val="32"/>
      <w:lang w:val="fr-FR" w:eastAsia="fr-FR"/>
    </w:rPr>
  </w:style>
  <w:style w:type="paragraph" w:customStyle="1" w:styleId="COENoLignes">
    <w:name w:val="COE_NoLignes"/>
    <w:rsid w:val="00E83BAD"/>
    <w:rPr>
      <w:sz w:val="24"/>
      <w:lang w:val="en-US" w:eastAsia="en-US"/>
    </w:rPr>
  </w:style>
  <w:style w:type="paragraph" w:customStyle="1" w:styleId="Char1CarChar">
    <w:name w:val="Char1 Car Char"/>
    <w:basedOn w:val="Normal"/>
    <w:rsid w:val="00E83BAD"/>
    <w:pPr>
      <w:spacing w:after="160" w:line="240" w:lineRule="exact"/>
    </w:pPr>
    <w:rPr>
      <w:rFonts w:ascii="Arial" w:hAnsi="Arial" w:cs="Arial"/>
      <w:sz w:val="20"/>
      <w:szCs w:val="20"/>
      <w:lang w:val="en-US"/>
    </w:rPr>
  </w:style>
  <w:style w:type="character" w:styleId="Hyperlink">
    <w:name w:val="Hyperlink"/>
    <w:basedOn w:val="DefaultParagraphFont"/>
    <w:rsid w:val="005132F1"/>
    <w:rPr>
      <w:color w:val="0000FF"/>
      <w:u w:val="single"/>
    </w:rPr>
  </w:style>
  <w:style w:type="character" w:customStyle="1" w:styleId="Heading1Char">
    <w:name w:val="Heading 1 Char"/>
    <w:basedOn w:val="DefaultParagraphFont"/>
    <w:link w:val="Heading1"/>
    <w:rsid w:val="00232B24"/>
    <w:rPr>
      <w:rFonts w:ascii="Cambria" w:hAnsi="Cambria" w:cs="Arial"/>
      <w:b/>
      <w:bCs/>
      <w:kern w:val="32"/>
      <w:sz w:val="28"/>
      <w:szCs w:val="32"/>
      <w:lang w:val="en-US" w:eastAsia="en-US"/>
    </w:rPr>
  </w:style>
  <w:style w:type="character" w:customStyle="1" w:styleId="Heading2Char">
    <w:name w:val="Heading 2 Char"/>
    <w:basedOn w:val="DefaultParagraphFont"/>
    <w:link w:val="Heading2"/>
    <w:rsid w:val="00232B24"/>
    <w:rPr>
      <w:rFonts w:ascii="Cambria" w:hAnsi="Cambria"/>
      <w:b/>
      <w:sz w:val="22"/>
      <w:szCs w:val="24"/>
      <w:lang w:val="en-US" w:eastAsia="en-US"/>
    </w:rPr>
  </w:style>
  <w:style w:type="table" w:styleId="TableGrid">
    <w:name w:val="Table Grid"/>
    <w:basedOn w:val="TableNormal"/>
    <w:uiPriority w:val="59"/>
    <w:rsid w:val="00232B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745CCF"/>
    <w:pPr>
      <w:ind w:left="720"/>
      <w:contextualSpacing/>
    </w:pPr>
  </w:style>
  <w:style w:type="character" w:styleId="Emphasis">
    <w:name w:val="Emphasis"/>
    <w:basedOn w:val="DefaultParagraphFont"/>
    <w:qFormat/>
    <w:rsid w:val="00F730EE"/>
    <w:rPr>
      <w:i/>
      <w:iCs/>
    </w:rPr>
  </w:style>
  <w:style w:type="character" w:customStyle="1" w:styleId="FooterChar">
    <w:name w:val="Footer Char"/>
    <w:basedOn w:val="DefaultParagraphFont"/>
    <w:link w:val="Footer"/>
    <w:uiPriority w:val="99"/>
    <w:rsid w:val="00C21F5F"/>
    <w:rPr>
      <w:rFonts w:ascii="Cambria" w:hAnsi="Cambria"/>
      <w:sz w:val="22"/>
      <w:szCs w:val="24"/>
      <w:lang w:val="en-GB" w:eastAsia="en-US"/>
    </w:rPr>
  </w:style>
  <w:style w:type="paragraph" w:styleId="FootnoteText">
    <w:name w:val="footnote text"/>
    <w:basedOn w:val="Normal"/>
    <w:link w:val="FootnoteTextChar"/>
    <w:rsid w:val="006D2EE9"/>
    <w:rPr>
      <w:rFonts w:ascii="Times New Roman" w:hAnsi="Times New Roman"/>
      <w:sz w:val="20"/>
      <w:szCs w:val="20"/>
    </w:rPr>
  </w:style>
  <w:style w:type="character" w:customStyle="1" w:styleId="FootnoteTextChar">
    <w:name w:val="Footnote Text Char"/>
    <w:basedOn w:val="DefaultParagraphFont"/>
    <w:link w:val="FootnoteText"/>
    <w:rsid w:val="006D2EE9"/>
    <w:rPr>
      <w:lang w:val="en-GB" w:eastAsia="en-US"/>
    </w:rPr>
  </w:style>
  <w:style w:type="character" w:styleId="FootnoteReference">
    <w:name w:val="footnote reference"/>
    <w:basedOn w:val="DefaultParagraphFont"/>
    <w:rsid w:val="006D2EE9"/>
    <w:rPr>
      <w:rFonts w:ascii="Times New Roman" w:hAnsi="Times New Roman"/>
      <w:spacing w:val="0"/>
      <w:position w:val="0"/>
      <w:sz w:val="16"/>
      <w:vertAlign w:val="superscript"/>
    </w:rPr>
  </w:style>
  <w:style w:type="character" w:styleId="CommentReference">
    <w:name w:val="annotation reference"/>
    <w:uiPriority w:val="99"/>
    <w:rsid w:val="00570178"/>
    <w:rPr>
      <w:sz w:val="16"/>
      <w:szCs w:val="16"/>
    </w:rPr>
  </w:style>
  <w:style w:type="paragraph" w:styleId="CommentText">
    <w:name w:val="annotation text"/>
    <w:basedOn w:val="Normal"/>
    <w:link w:val="CommentTextChar"/>
    <w:uiPriority w:val="99"/>
    <w:rsid w:val="00570178"/>
    <w:pPr>
      <w:jc w:val="left"/>
    </w:pPr>
    <w:rPr>
      <w:rFonts w:ascii="Arial" w:hAnsi="Arial"/>
      <w:sz w:val="20"/>
      <w:szCs w:val="20"/>
      <w:lang w:val="de-DE" w:eastAsia="de-DE"/>
    </w:rPr>
  </w:style>
  <w:style w:type="character" w:customStyle="1" w:styleId="CommentTextChar">
    <w:name w:val="Comment Text Char"/>
    <w:basedOn w:val="DefaultParagraphFont"/>
    <w:link w:val="CommentText"/>
    <w:uiPriority w:val="99"/>
    <w:rsid w:val="00570178"/>
    <w:rPr>
      <w:rFonts w:ascii="Arial" w:hAnsi="Arial"/>
      <w:lang w:val="de-DE" w:eastAsia="de-DE"/>
    </w:rPr>
  </w:style>
  <w:style w:type="paragraph" w:styleId="BalloonText">
    <w:name w:val="Balloon Text"/>
    <w:basedOn w:val="Normal"/>
    <w:link w:val="BalloonTextChar"/>
    <w:rsid w:val="00570178"/>
    <w:rPr>
      <w:rFonts w:ascii="Tahoma" w:hAnsi="Tahoma" w:cs="Tahoma"/>
      <w:sz w:val="16"/>
      <w:szCs w:val="16"/>
    </w:rPr>
  </w:style>
  <w:style w:type="character" w:customStyle="1" w:styleId="BalloonTextChar">
    <w:name w:val="Balloon Text Char"/>
    <w:basedOn w:val="DefaultParagraphFont"/>
    <w:link w:val="BalloonText"/>
    <w:rsid w:val="00570178"/>
    <w:rPr>
      <w:rFonts w:ascii="Tahoma" w:hAnsi="Tahoma" w:cs="Tahoma"/>
      <w:sz w:val="16"/>
      <w:szCs w:val="16"/>
      <w:lang w:val="en-GB" w:eastAsia="en-US"/>
    </w:rPr>
  </w:style>
  <w:style w:type="paragraph" w:customStyle="1" w:styleId="Default">
    <w:name w:val="Default"/>
    <w:rsid w:val="00CC42C3"/>
    <w:pPr>
      <w:autoSpaceDE w:val="0"/>
      <w:autoSpaceDN w:val="0"/>
      <w:adjustRightInd w:val="0"/>
    </w:pPr>
    <w:rPr>
      <w:rFonts w:ascii="Cambria" w:hAnsi="Cambria" w:cs="Cambria"/>
      <w:color w:val="000000"/>
      <w:sz w:val="24"/>
      <w:szCs w:val="24"/>
      <w:lang w:val="en-US"/>
    </w:rPr>
  </w:style>
  <w:style w:type="paragraph" w:styleId="PlainText">
    <w:name w:val="Plain Text"/>
    <w:basedOn w:val="Normal"/>
    <w:link w:val="PlainTextChar"/>
    <w:uiPriority w:val="99"/>
    <w:unhideWhenUsed/>
    <w:rsid w:val="00BC3920"/>
    <w:pPr>
      <w:jc w:val="left"/>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BC3920"/>
    <w:rPr>
      <w:rFonts w:ascii="Consolas" w:eastAsia="Calibri" w:hAnsi="Consolas"/>
      <w:sz w:val="21"/>
      <w:szCs w:val="21"/>
      <w:lang w:val="en-US" w:eastAsia="en-US"/>
    </w:rPr>
  </w:style>
  <w:style w:type="paragraph" w:styleId="CommentSubject">
    <w:name w:val="annotation subject"/>
    <w:basedOn w:val="CommentText"/>
    <w:next w:val="CommentText"/>
    <w:link w:val="CommentSubjectChar"/>
    <w:rsid w:val="00B42BA1"/>
    <w:pPr>
      <w:jc w:val="both"/>
    </w:pPr>
    <w:rPr>
      <w:rFonts w:ascii="Cambria" w:hAnsi="Cambria"/>
      <w:b/>
      <w:bCs/>
      <w:lang w:val="en-GB" w:eastAsia="en-US"/>
    </w:rPr>
  </w:style>
  <w:style w:type="character" w:customStyle="1" w:styleId="CommentSubjectChar">
    <w:name w:val="Comment Subject Char"/>
    <w:basedOn w:val="CommentTextChar"/>
    <w:link w:val="CommentSubject"/>
    <w:rsid w:val="00B42BA1"/>
    <w:rPr>
      <w:rFonts w:ascii="Cambria" w:hAnsi="Cambria"/>
      <w:b/>
      <w:bCs/>
      <w:lang w:val="en-GB" w:eastAsia="en-US"/>
    </w:rPr>
  </w:style>
  <w:style w:type="paragraph" w:customStyle="1" w:styleId="BodyText1">
    <w:name w:val="Body Text1"/>
    <w:rsid w:val="00691E78"/>
    <w:pPr>
      <w:spacing w:after="120"/>
    </w:pPr>
    <w:rPr>
      <w:rFonts w:ascii="Lucida Grande" w:eastAsia="ヒラギノ角ゴ Pro W3" w:hAnsi="Lucida Grande"/>
      <w:color w:val="000000"/>
      <w:lang w:val="de-DE" w:eastAsia="en-US"/>
    </w:rPr>
  </w:style>
  <w:style w:type="character" w:styleId="UnresolvedMention">
    <w:name w:val="Unresolved Mention"/>
    <w:basedOn w:val="DefaultParagraphFont"/>
    <w:uiPriority w:val="99"/>
    <w:semiHidden/>
    <w:unhideWhenUsed/>
    <w:rsid w:val="005C3AC8"/>
    <w:rPr>
      <w:color w:val="605E5C"/>
      <w:shd w:val="clear" w:color="auto" w:fill="E1DFDD"/>
    </w:rPr>
  </w:style>
  <w:style w:type="character" w:customStyle="1" w:styleId="ListParagraphChar">
    <w:name w:val="List Paragraph Char"/>
    <w:basedOn w:val="DefaultParagraphFont"/>
    <w:link w:val="ListParagraph"/>
    <w:uiPriority w:val="34"/>
    <w:rsid w:val="001228AD"/>
    <w:rPr>
      <w:rFonts w:ascii="Cambria" w:hAnsi="Cambria"/>
      <w:sz w:val="22"/>
      <w:szCs w:val="24"/>
      <w:lang w:val="en-GB" w:eastAsia="en-US"/>
    </w:rPr>
  </w:style>
  <w:style w:type="paragraph" w:styleId="Revision">
    <w:name w:val="Revision"/>
    <w:hidden/>
    <w:uiPriority w:val="99"/>
    <w:semiHidden/>
    <w:rsid w:val="00227FF0"/>
    <w:rPr>
      <w:rFonts w:ascii="Cambria" w:hAnsi="Cambria"/>
      <w:sz w:val="22"/>
      <w:szCs w:val="24"/>
      <w:lang w:val="en-GB" w:eastAsia="en-US"/>
    </w:rPr>
  </w:style>
  <w:style w:type="character" w:customStyle="1" w:styleId="Style11">
    <w:name w:val="Style11"/>
    <w:basedOn w:val="DefaultParagraphFont"/>
    <w:uiPriority w:val="1"/>
    <w:rsid w:val="00861065"/>
    <w:rPr>
      <w:rFonts w:ascii="Garamond" w:hAnsi="Garamond"/>
      <w:color w:val="000000" w:themeColor="text1"/>
      <w:sz w:val="18"/>
    </w:rPr>
  </w:style>
  <w:style w:type="character" w:customStyle="1" w:styleId="Heading4Char">
    <w:name w:val="Heading 4 Char"/>
    <w:basedOn w:val="DefaultParagraphFont"/>
    <w:link w:val="Heading4"/>
    <w:semiHidden/>
    <w:rsid w:val="00853686"/>
    <w:rPr>
      <w:rFonts w:asciiTheme="majorHAnsi" w:eastAsiaTheme="majorEastAsia" w:hAnsiTheme="majorHAnsi" w:cstheme="majorBidi"/>
      <w:i/>
      <w:iCs/>
      <w:color w:val="365F91" w:themeColor="accent1" w:themeShade="BF"/>
      <w:sz w:val="22"/>
      <w:szCs w:val="24"/>
      <w:lang w:val="en-GB" w:eastAsia="en-US"/>
    </w:rPr>
  </w:style>
  <w:style w:type="paragraph" w:styleId="NormalWeb">
    <w:name w:val="Normal (Web)"/>
    <w:basedOn w:val="Normal"/>
    <w:uiPriority w:val="99"/>
    <w:unhideWhenUsed/>
    <w:rsid w:val="00C34DBB"/>
    <w:pPr>
      <w:spacing w:before="100" w:beforeAutospacing="1" w:after="100" w:afterAutospacing="1"/>
      <w:jc w:val="left"/>
    </w:pPr>
    <w:rPr>
      <w:rFonts w:ascii="Times New Roman" w:hAnsi="Times New Roman"/>
      <w:sz w:val="24"/>
      <w:lang w:val="fr-FR" w:eastAsia="fr-FR"/>
    </w:rPr>
  </w:style>
  <w:style w:type="character" w:styleId="Strong">
    <w:name w:val="Strong"/>
    <w:basedOn w:val="DefaultParagraphFont"/>
    <w:uiPriority w:val="22"/>
    <w:qFormat/>
    <w:rsid w:val="00C34DBB"/>
    <w:rPr>
      <w:b/>
      <w:bCs/>
    </w:rPr>
  </w:style>
  <w:style w:type="character" w:styleId="FollowedHyperlink">
    <w:name w:val="FollowedHyperlink"/>
    <w:basedOn w:val="DefaultParagraphFont"/>
    <w:semiHidden/>
    <w:unhideWhenUsed/>
    <w:rsid w:val="00520A67"/>
    <w:rPr>
      <w:color w:val="800080" w:themeColor="followedHyperlink"/>
      <w:u w:val="single"/>
    </w:rPr>
  </w:style>
  <w:style w:type="character" w:customStyle="1" w:styleId="HeaderChar">
    <w:name w:val="Header Char"/>
    <w:basedOn w:val="DefaultParagraphFont"/>
    <w:link w:val="Header"/>
    <w:uiPriority w:val="99"/>
    <w:rsid w:val="00D67DFA"/>
    <w:rPr>
      <w:rFonts w:ascii="Cambria" w:hAnsi="Cambria"/>
      <w:sz w:val="22"/>
      <w:szCs w:val="24"/>
      <w:lang w:val="en-GB" w:eastAsia="en-US"/>
    </w:rPr>
  </w:style>
  <w:style w:type="character" w:customStyle="1" w:styleId="Heading3Char">
    <w:name w:val="Heading 3 Char"/>
    <w:basedOn w:val="DefaultParagraphFont"/>
    <w:link w:val="Heading3"/>
    <w:semiHidden/>
    <w:rsid w:val="006628C0"/>
    <w:rPr>
      <w:rFonts w:asciiTheme="majorHAnsi" w:eastAsiaTheme="majorEastAsia" w:hAnsiTheme="majorHAnsi" w:cstheme="majorBidi"/>
      <w:color w:val="243F60" w:themeColor="accent1" w:themeShade="7F"/>
      <w:sz w:val="24"/>
      <w:szCs w:val="24"/>
      <w:lang w:val="en-GB" w:eastAsia="en-US"/>
    </w:rPr>
  </w:style>
  <w:style w:type="character" w:customStyle="1" w:styleId="whitespace-normal">
    <w:name w:val="whitespace-normal"/>
    <w:basedOn w:val="DefaultParagraphFont"/>
    <w:rsid w:val="00D6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11910">
      <w:bodyDiv w:val="1"/>
      <w:marLeft w:val="0"/>
      <w:marRight w:val="0"/>
      <w:marTop w:val="0"/>
      <w:marBottom w:val="0"/>
      <w:divBdr>
        <w:top w:val="none" w:sz="0" w:space="0" w:color="auto"/>
        <w:left w:val="none" w:sz="0" w:space="0" w:color="auto"/>
        <w:bottom w:val="none" w:sz="0" w:space="0" w:color="auto"/>
        <w:right w:val="none" w:sz="0" w:space="0" w:color="auto"/>
      </w:divBdr>
      <w:divsChild>
        <w:div w:id="649141995">
          <w:marLeft w:val="720"/>
          <w:marRight w:val="0"/>
          <w:marTop w:val="0"/>
          <w:marBottom w:val="120"/>
          <w:divBdr>
            <w:top w:val="none" w:sz="0" w:space="0" w:color="auto"/>
            <w:left w:val="none" w:sz="0" w:space="0" w:color="auto"/>
            <w:bottom w:val="none" w:sz="0" w:space="0" w:color="auto"/>
            <w:right w:val="none" w:sz="0" w:space="0" w:color="auto"/>
          </w:divBdr>
        </w:div>
        <w:div w:id="1074669297">
          <w:marLeft w:val="720"/>
          <w:marRight w:val="0"/>
          <w:marTop w:val="0"/>
          <w:marBottom w:val="120"/>
          <w:divBdr>
            <w:top w:val="none" w:sz="0" w:space="0" w:color="auto"/>
            <w:left w:val="none" w:sz="0" w:space="0" w:color="auto"/>
            <w:bottom w:val="none" w:sz="0" w:space="0" w:color="auto"/>
            <w:right w:val="none" w:sz="0" w:space="0" w:color="auto"/>
          </w:divBdr>
        </w:div>
        <w:div w:id="18899688">
          <w:marLeft w:val="720"/>
          <w:marRight w:val="0"/>
          <w:marTop w:val="0"/>
          <w:marBottom w:val="120"/>
          <w:divBdr>
            <w:top w:val="none" w:sz="0" w:space="0" w:color="auto"/>
            <w:left w:val="none" w:sz="0" w:space="0" w:color="auto"/>
            <w:bottom w:val="none" w:sz="0" w:space="0" w:color="auto"/>
            <w:right w:val="none" w:sz="0" w:space="0" w:color="auto"/>
          </w:divBdr>
        </w:div>
        <w:div w:id="1989359186">
          <w:marLeft w:val="720"/>
          <w:marRight w:val="0"/>
          <w:marTop w:val="0"/>
          <w:marBottom w:val="120"/>
          <w:divBdr>
            <w:top w:val="none" w:sz="0" w:space="0" w:color="auto"/>
            <w:left w:val="none" w:sz="0" w:space="0" w:color="auto"/>
            <w:bottom w:val="none" w:sz="0" w:space="0" w:color="auto"/>
            <w:right w:val="none" w:sz="0" w:space="0" w:color="auto"/>
          </w:divBdr>
        </w:div>
      </w:divsChild>
    </w:div>
    <w:div w:id="559292611">
      <w:bodyDiv w:val="1"/>
      <w:marLeft w:val="0"/>
      <w:marRight w:val="0"/>
      <w:marTop w:val="0"/>
      <w:marBottom w:val="0"/>
      <w:divBdr>
        <w:top w:val="none" w:sz="0" w:space="0" w:color="auto"/>
        <w:left w:val="none" w:sz="0" w:space="0" w:color="auto"/>
        <w:bottom w:val="none" w:sz="0" w:space="0" w:color="auto"/>
        <w:right w:val="none" w:sz="0" w:space="0" w:color="auto"/>
      </w:divBdr>
      <w:divsChild>
        <w:div w:id="1937901104">
          <w:marLeft w:val="720"/>
          <w:marRight w:val="0"/>
          <w:marTop w:val="0"/>
          <w:marBottom w:val="120"/>
          <w:divBdr>
            <w:top w:val="none" w:sz="0" w:space="0" w:color="auto"/>
            <w:left w:val="none" w:sz="0" w:space="0" w:color="auto"/>
            <w:bottom w:val="none" w:sz="0" w:space="0" w:color="auto"/>
            <w:right w:val="none" w:sz="0" w:space="0" w:color="auto"/>
          </w:divBdr>
        </w:div>
        <w:div w:id="1854373388">
          <w:marLeft w:val="720"/>
          <w:marRight w:val="0"/>
          <w:marTop w:val="0"/>
          <w:marBottom w:val="120"/>
          <w:divBdr>
            <w:top w:val="none" w:sz="0" w:space="0" w:color="auto"/>
            <w:left w:val="none" w:sz="0" w:space="0" w:color="auto"/>
            <w:bottom w:val="none" w:sz="0" w:space="0" w:color="auto"/>
            <w:right w:val="none" w:sz="0" w:space="0" w:color="auto"/>
          </w:divBdr>
        </w:div>
        <w:div w:id="995492784">
          <w:marLeft w:val="720"/>
          <w:marRight w:val="0"/>
          <w:marTop w:val="0"/>
          <w:marBottom w:val="120"/>
          <w:divBdr>
            <w:top w:val="none" w:sz="0" w:space="0" w:color="auto"/>
            <w:left w:val="none" w:sz="0" w:space="0" w:color="auto"/>
            <w:bottom w:val="none" w:sz="0" w:space="0" w:color="auto"/>
            <w:right w:val="none" w:sz="0" w:space="0" w:color="auto"/>
          </w:divBdr>
        </w:div>
        <w:div w:id="258220375">
          <w:marLeft w:val="720"/>
          <w:marRight w:val="0"/>
          <w:marTop w:val="0"/>
          <w:marBottom w:val="120"/>
          <w:divBdr>
            <w:top w:val="none" w:sz="0" w:space="0" w:color="auto"/>
            <w:left w:val="none" w:sz="0" w:space="0" w:color="auto"/>
            <w:bottom w:val="none" w:sz="0" w:space="0" w:color="auto"/>
            <w:right w:val="none" w:sz="0" w:space="0" w:color="auto"/>
          </w:divBdr>
        </w:div>
      </w:divsChild>
    </w:div>
    <w:div w:id="1234664306">
      <w:bodyDiv w:val="1"/>
      <w:marLeft w:val="0"/>
      <w:marRight w:val="0"/>
      <w:marTop w:val="0"/>
      <w:marBottom w:val="0"/>
      <w:divBdr>
        <w:top w:val="none" w:sz="0" w:space="0" w:color="auto"/>
        <w:left w:val="none" w:sz="0" w:space="0" w:color="auto"/>
        <w:bottom w:val="none" w:sz="0" w:space="0" w:color="auto"/>
        <w:right w:val="none" w:sz="0" w:space="0" w:color="auto"/>
      </w:divBdr>
    </w:div>
    <w:div w:id="2085368742">
      <w:bodyDiv w:val="1"/>
      <w:marLeft w:val="0"/>
      <w:marRight w:val="0"/>
      <w:marTop w:val="0"/>
      <w:marBottom w:val="0"/>
      <w:divBdr>
        <w:top w:val="none" w:sz="0" w:space="0" w:color="auto"/>
        <w:left w:val="none" w:sz="0" w:space="0" w:color="auto"/>
        <w:bottom w:val="none" w:sz="0" w:space="0" w:color="auto"/>
        <w:right w:val="none" w:sz="0" w:space="0" w:color="auto"/>
      </w:divBdr>
      <w:divsChild>
        <w:div w:id="781730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as.eu/about-u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sogfbih.b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congress/the-charter-how-it-work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ur-lex.europa.eu/eli/reg/2024/1449/oj/eng" TargetMode="External"/><Relationship Id="rId4" Type="http://schemas.openxmlformats.org/officeDocument/2006/relationships/settings" Target="settings.xml"/><Relationship Id="rId9" Type="http://schemas.openxmlformats.org/officeDocument/2006/relationships/hyperlink" Target="https://ccre-cem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146B3-49A3-4420-AD2B-903A9F96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1754</Words>
  <Characters>10001</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Janevska</dc:creator>
  <cp:lastModifiedBy>Amir Kupusija</cp:lastModifiedBy>
  <cp:revision>7</cp:revision>
  <cp:lastPrinted>2026-05-27T07:28:00Z</cp:lastPrinted>
  <dcterms:created xsi:type="dcterms:W3CDTF">2026-06-10T17:56:00Z</dcterms:created>
  <dcterms:modified xsi:type="dcterms:W3CDTF">2026-06-12T08:40:00Z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838bec62f3c38cf7089a0c4e7cf29d917f6a23715a57cbfe262a5c119438aef5</vt:lpwstr>
  </property>
</Properties>
</file>